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E8" w:rsidRPr="00CD4061" w:rsidRDefault="00F017CE" w:rsidP="00CB26E8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2020</w:t>
      </w:r>
      <w:r w:rsidR="00CB26E8" w:rsidRPr="00CD4061">
        <w:rPr>
          <w:rFonts w:ascii="方正小标宋简体" w:eastAsia="方正小标宋简体" w:hAnsi="仿宋" w:hint="eastAsia"/>
          <w:sz w:val="36"/>
          <w:szCs w:val="36"/>
        </w:rPr>
        <w:t>年度三明市本级政府决算相关重要事项的说明</w:t>
      </w:r>
    </w:p>
    <w:p w:rsidR="00CD4061" w:rsidRDefault="00CD4061" w:rsidP="00CB26E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954F7F" w:rsidRPr="00127A90" w:rsidRDefault="00954F7F" w:rsidP="00127A90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27A90">
        <w:rPr>
          <w:rFonts w:ascii="黑体" w:eastAsia="黑体" w:hAnsi="黑体" w:hint="eastAsia"/>
          <w:sz w:val="32"/>
          <w:szCs w:val="32"/>
        </w:rPr>
        <w:t>一、市本级决算支出说明</w:t>
      </w:r>
    </w:p>
    <w:p w:rsidR="0033430C" w:rsidRPr="00F01948" w:rsidRDefault="0033430C" w:rsidP="0033430C">
      <w:pPr>
        <w:spacing w:line="600" w:lineRule="exact"/>
        <w:ind w:firstLineChars="200" w:firstLine="640"/>
        <w:rPr>
          <w:rFonts w:ascii="仿宋_GB2312" w:eastAsia="仿宋_GB2312" w:hAnsi="黑体"/>
          <w:b/>
          <w:sz w:val="32"/>
          <w:szCs w:val="32"/>
        </w:rPr>
      </w:pPr>
      <w:r w:rsidRPr="00F01948">
        <w:rPr>
          <w:rFonts w:ascii="仿宋_GB2312" w:eastAsia="仿宋_GB2312" w:hAnsi="仿宋" w:hint="eastAsia"/>
          <w:sz w:val="32"/>
          <w:szCs w:val="32"/>
        </w:rPr>
        <w:t>2020</w:t>
      </w:r>
      <w:r>
        <w:rPr>
          <w:rFonts w:ascii="仿宋_GB2312" w:eastAsia="仿宋_GB2312" w:hAnsi="仿宋" w:hint="eastAsia"/>
          <w:sz w:val="32"/>
          <w:szCs w:val="32"/>
        </w:rPr>
        <w:t>年度，三明市本级</w:t>
      </w:r>
      <w:r w:rsidRPr="00F01948">
        <w:rPr>
          <w:rFonts w:ascii="仿宋_GB2312" w:eastAsia="仿宋_GB2312" w:hAnsi="仿宋" w:hint="eastAsia"/>
          <w:noProof/>
          <w:sz w:val="32"/>
          <w:szCs w:val="32"/>
        </w:rPr>
        <w:t>一般公共预算支出</w:t>
      </w:r>
      <w:r w:rsidR="00B71D16">
        <w:rPr>
          <w:rFonts w:ascii="仿宋_GB2312" w:eastAsia="仿宋_GB2312" w:hAnsi="仿宋" w:hint="eastAsia"/>
          <w:sz w:val="32"/>
          <w:szCs w:val="32"/>
        </w:rPr>
        <w:t>决算数</w:t>
      </w:r>
      <w:r w:rsidRPr="00F01948">
        <w:rPr>
          <w:rFonts w:ascii="仿宋_GB2312" w:eastAsia="仿宋_GB2312" w:hint="eastAsia"/>
          <w:sz w:val="32"/>
          <w:szCs w:val="32"/>
        </w:rPr>
        <w:t>572261万元，与上年相比增加68836万元，增长</w:t>
      </w:r>
      <w:r w:rsidRPr="00F01948">
        <w:rPr>
          <w:rFonts w:ascii="仿宋_GB2312" w:eastAsia="仿宋_GB2312" w:hAnsi="仿宋" w:hint="eastAsia"/>
          <w:noProof/>
          <w:sz w:val="32"/>
          <w:szCs w:val="32"/>
        </w:rPr>
        <w:t>13.7</w:t>
      </w:r>
      <w:r w:rsidRPr="00F01948">
        <w:rPr>
          <w:rFonts w:ascii="仿宋_GB2312" w:eastAsia="仿宋_GB2312" w:hAnsi="仿宋" w:hint="eastAsia"/>
          <w:sz w:val="32"/>
          <w:szCs w:val="32"/>
        </w:rPr>
        <w:t>%。具体情况如下（分款级科目表述）：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201一般公共服务支出科目全年完成支出45239万元，与上年相比减少366万元，下降0.8%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20101人大事务科目全年完成支出1846万元，与上年相比增加17万元，增长0.9%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20102政协事务科目全年完成支出1495万元，与上年相比增加35万元，增长2.4%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20103政府办公厅(室)及相关机构事务科目全年完成支出7240万元，与上年相比增加337万元，增长4.9%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20104发展与改革事务科目全年完成支出2449万元，与上年相比减少72万元，下降2.9%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20105统计信息事务科目全年完成支出2038万元，与上年相比增加855万元，增长72.3%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20106财政事务科目全年完成支出3228万元，与上年相比减少71万元，下降2.2%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20107税收事务科目全年完成支出567万元，与上年相比减少133万元，下降19.0%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20108审计事务科目全年完成支出870万元，与上年相比增加43万元，增长5.2%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20109海关事务科目全年完成支出93万元，与上年相比减少16万元，下降14.7%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20110人力资源事务科目全年完成支出1460万元，与上年相比增加265万元，增长22.2%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20111纪检监察事务科目全年完成支出3800万元，与上年相比增加933万元，增长32.5%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20113商贸事务科目全年完成支出1937万元，与上年相比增加548万元，增长39.5%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20114知识产权事务科目全年完成支出100万元，与上年相比增加100万元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20123民族事务科目全年完成支出243万元，与上年相比增加19万元，增长8.5%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20125港澳台事务科目全年完成支出52万元，与上年相比减少33万元，下降38.8%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20126档案事务科目全年完成支出665万元，与上年相比增加271万元，增长68.8%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20128民主党派及工商联事务科目全年完成支出546万元，与上年相比减少20万元，下降3.5%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20129群众团体事务科目全年完成支出1780万元，与上年相比增加125万元，增长7.6%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20131党委办公厅(室)及相关机构事务科目全年完成支出5006万元，与上年相比增加175万元，增长3.6%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20132组织事务科目全年完成支出1923万元，与上年相比增加421万元，增长28.0%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20133宣传事务科目全年完成支出1352万元，与上年相比增加913万元，增长208.0%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20134统战事务科目全年完成支出437万元，与上年相比减少171万元，下降28.1%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20135对外联络事务科目全年完成支出0万元，与上年相比减少100万元，下降100.0%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20136其他共产党事务支出(款)科目全年完成支出760万元，与上年相比增加107万元，增长16.4%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20138市场监督管理事务科目全年完成支出4736万元，与上年相比减少2402万元，下降33.7%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20199其他一般公共服务支出(款)科目全年完成支出314万元，与上年相比减少2697万元，下降89.6%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202外交支出科目全年完成支出0万元，与上年相比持平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20201外交管理事务科目全年完成支出0万元，与上年相比持平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20202驻外机构科目全年完成支出0万元，与上年相比持平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>20203对外援助科目全年完成支出0万元，与上年相比持平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20204国际组织科目全年完成支出0万元，与上年相比持平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20205对外合作与交流科目全年完成支出0万元，与上年相比持平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20206对外宣传(款)科目全年完成支出0万元，与上年相比持平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20207边界勘界联检科目全年完成支出0万元，与上年相比持平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20208国际发展合作科目全年完成支出0万元，与上年相比持平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20299其他外交支出(款)科目全年完成支出0万元，与上年相比持平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204公共安全支出科目全年完成支出40562万元，与上年相比增加4843万元，增长13.6%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20402公安科目全年完成支出36612万元，与上年相比增加4007万元，增长12.3%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20403国家安全科目全年完成支出0万元，与上年相比减少36万元，下降100.0%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20404检察科目全年完成支出310万元，与上年相比减少1143万元，下降78.7%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20405法院科目全年完成支出0万元，与上年相比减少247万元，下降100.0%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20406司法科目全年完成支出1064万元，与上年相比减少22万元，下降2.0%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20407监狱科目全年完成支出0万元，与上年相比持平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20408强制隔离戒毒科目全年完成支出0万元，与上年相比持平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20409国家保密科目全年完成支出0万元，与上年相比持平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20410缉私警察科目全年完成支出0万元，与上年相比持平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20499其他公共安全支出(款)科目全年完成支出2384万元，与上年相比增加2284万元，增长2284.0%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205教育支出科目全年完成支出95317万元，与上年相比增加23648万元，增长33.0%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20501教育管理事务科目全年完成支出1201万元，与上年相比增加242万元，增长25.2%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20502普通教育科目全年完成支出51976万元，与上年相比增加7964万元，增长18.1%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20503职业教育科目全年完成支出18253万元，与上年相比增加2712万元，增长17.5%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20504成人教育科目全年完成支出1万元，与上年相比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减少513万元，下降99.8%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20505广播电视教育科目全年完成支出0万元，与上年相比持平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20506留学教育科目全年完成支出0万元，与上年相比持平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20507特殊教育科目全年完成支出1369万元，与上年相比增加77万元，增长6.0%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20508进修及培训科目全年完成支出4661万元，与上年相比增加2497万元，增长115.4%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20509教育费附加安排的支出科目全年完成支出6057万元，与上年相比减少32万元，下降0.5%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20599其他教育支出(款)科目全年完成支出11799万元，与上年相比增加10701万元，增长974.6%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206科学技术支出科目全年完成支出7003万元，与上年相比减少454万元，下降6.1%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20601科学技术管理事务科目全年完成支出289万元，与上年相比增加43万元，增长17.5%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20602基础研究科目全年完成支出11万元，与上年相比减少24万元，下降68.6%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20603应用研究科目全年完成支出2209万元，与上年相比增加926万元，增长72.2%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20604技术研究与开发科目全年完成支出277万元，与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上年相比减少2057万元，下降88.1%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20605科技条件与服务科目全年完成支出1718万元，与上年相比增加725万元，增长73.0%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20606社会科学科目全年完成支出222万元，与上年相比增加38万元，增长20.7%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20607科学技术普及科目全年完成支出885万元，与上年相比增加13万元，增长1.5%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20608科技交流与合作科目全年完成支出0万元，与上年相比持平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20609科技重大项目科目全年完成支出0万元，与上年相比持平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20699其他科学技术支出(款)科目全年完成支出1392万元，与上年相比减少118万元，下降7.8%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207文化旅游体育与传媒支出科目全年完成支出12851万元，与上年相比增加1551万元，增长13.7%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20701文化和旅游科目全年完成支出4807万元，与上年相比增加151万元，增长3.2%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20702文物科目全年完成支出2324万元，与上年相比增加1322万元，增长131.9%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20703体育科目全年完成支出2292万元，与上年相比减少494万元，下降17.7%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20706新闻出版电影科目全年完成支出827万元，与上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年相比减少185万元，下降18.3%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20708广播电视科目全年完成支出2099万元，与上年相比增加628万元，增长42.7%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20799其他文化旅游体育与传媒支出(款)科目全年完成支出502万元，与上年相比增加129万元，增长34.6%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208社会保障和就业支出科目全年完成支出38172万元，与上年相比减少43501万元，下降53.3%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20801人力资源和社会保障管理事务科目全年完成支出1874万元，与上年相比减少2855万元，下降60.4%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20802民政管理事务科目全年完成支出694万元，与上年相比增加54万元，增长8.4%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20804补充全国社会保障基金科目全年完成支出0万元，与上年相比持平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20805行政事业单位养老支出科目全年完成支出12792万元，与上年相比减少5461万元，下降29.9%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20806企业改革补助科目全年完成支出0万元，与上年相比持平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20807就业补助科目全年完成支出521万元，与上年相比减少100万元，下降16.1%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20808抚恤科目全年完成支出195万元，与上年相比增加38万元，增长24.2%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20810社会福利科目全年完成支出1627万元，与上年相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比减少517万元，下降24.1%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20811残疾人事业科目全年完成支出1299万元，与上年相比增加509万元，增长64.4%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20816红十字事业科目全年完成支出140万元，与上年相比增加53万元，增长60.9%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20819最低生活保障科目全年完成支出0万元，与上年相比持平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20820临时救助科目全年完成支出264万元，与上年相比减少32万元，下降10.8%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20821特困人员救助供养科目全年完成支出0万元，与上年相比持平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20824补充道路交通事故社会救助基金科目全年完成支出0万元，与上年相比持平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20825其他生活救助科目全年完成支出0万元，与上年相比减少8万元，下降100.0%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20826财政对基本养老保险基金的补助科目全年完成支出16500万元，与上年相比减少36409万元，下降68.8%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20827财政对其他社会保险基金的补助科目全年完成支出0万元，与上年相比持平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20828退役军人管理事务科目全年完成支出387万元，与上年相比增加145万元，增长59.9%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20830财政代缴社会保险费支出科目全年完成支出0万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>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20899其他社会保障和就业支出(款)科目全年完成支出498万元，与上年相比增加498万元，增长0.0%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210卫生健康支出科目全年完成支出148022万元，与上年相比增加30658万元，增长</w:t>
      </w:r>
      <w:r w:rsidR="00941794">
        <w:rPr>
          <w:rFonts w:ascii="仿宋_GB2312" w:eastAsia="仿宋_GB2312" w:hint="eastAsia"/>
          <w:sz w:val="32"/>
          <w:szCs w:val="32"/>
        </w:rPr>
        <w:t>26.1%</w:t>
      </w:r>
      <w:r w:rsidR="000A11CF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352607">
        <w:rPr>
          <w:rFonts w:ascii="仿宋_GB2312" w:eastAsia="仿宋_GB2312" w:hint="eastAsia"/>
          <w:sz w:val="32"/>
          <w:szCs w:val="32"/>
        </w:rPr>
        <w:t>主要是</w:t>
      </w:r>
      <w:r w:rsidR="00C979A5">
        <w:rPr>
          <w:rFonts w:ascii="仿宋_GB2312" w:eastAsia="仿宋_GB2312" w:hint="eastAsia"/>
          <w:sz w:val="32"/>
          <w:szCs w:val="32"/>
        </w:rPr>
        <w:t>2020年</w:t>
      </w:r>
      <w:r w:rsidR="00352607">
        <w:rPr>
          <w:rFonts w:ascii="仿宋_GB2312" w:eastAsia="仿宋_GB2312" w:hint="eastAsia"/>
          <w:sz w:val="32"/>
          <w:szCs w:val="32"/>
        </w:rPr>
        <w:t>新冠肺炎疫情防控</w:t>
      </w:r>
      <w:r w:rsidR="000A11CF">
        <w:rPr>
          <w:rFonts w:ascii="仿宋_GB2312" w:eastAsia="仿宋_GB2312" w:hint="eastAsia"/>
          <w:sz w:val="32"/>
          <w:szCs w:val="32"/>
        </w:rPr>
        <w:t>和救治</w:t>
      </w:r>
      <w:r w:rsidR="00352607">
        <w:rPr>
          <w:rFonts w:ascii="仿宋_GB2312" w:eastAsia="仿宋_GB2312" w:hint="eastAsia"/>
          <w:sz w:val="32"/>
          <w:szCs w:val="32"/>
        </w:rPr>
        <w:t>相关投入</w:t>
      </w:r>
      <w:r w:rsidR="000A11CF">
        <w:rPr>
          <w:rFonts w:ascii="仿宋_GB2312" w:eastAsia="仿宋_GB2312" w:hint="eastAsia"/>
          <w:sz w:val="32"/>
          <w:szCs w:val="32"/>
        </w:rPr>
        <w:t>增加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21001卫生健康管理事务科目全年完成支出1467万元，与上年相比增加268万元，增长22.4%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21002公立医院科目全年完成支出7878万元，与上年相比增加1097万元，增长16.2%</w:t>
      </w:r>
      <w:r w:rsidR="000A11CF">
        <w:rPr>
          <w:rFonts w:ascii="仿宋_GB2312" w:eastAsia="仿宋_GB2312" w:hint="eastAsia"/>
          <w:sz w:val="32"/>
          <w:szCs w:val="32"/>
        </w:rPr>
        <w:t>。</w:t>
      </w:r>
      <w:r w:rsidRPr="00F01948">
        <w:rPr>
          <w:rFonts w:ascii="仿宋_GB2312" w:eastAsia="仿宋_GB2312" w:hint="eastAsia"/>
          <w:sz w:val="32"/>
          <w:szCs w:val="32"/>
        </w:rPr>
        <w:t xml:space="preserve">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21003基层医疗卫生机构科目全年完成支出0万元，与上年相比持平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21004公共卫生科目全年完成支出18771万元，与上年相比增加13748万元，增长273.7% </w:t>
      </w:r>
      <w:r w:rsidR="000A11CF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0A11CF">
        <w:rPr>
          <w:rFonts w:ascii="仿宋_GB2312" w:eastAsia="仿宋_GB2312" w:hint="eastAsia"/>
          <w:sz w:val="32"/>
          <w:szCs w:val="32"/>
        </w:rPr>
        <w:t>主要是</w:t>
      </w:r>
      <w:r w:rsidR="00947AE8">
        <w:rPr>
          <w:rFonts w:ascii="仿宋_GB2312" w:eastAsia="仿宋_GB2312" w:hint="eastAsia"/>
          <w:sz w:val="32"/>
          <w:szCs w:val="32"/>
        </w:rPr>
        <w:t>2020年</w:t>
      </w:r>
      <w:r w:rsidR="000A11CF">
        <w:rPr>
          <w:rFonts w:ascii="仿宋_GB2312" w:eastAsia="仿宋_GB2312" w:hint="eastAsia"/>
          <w:sz w:val="32"/>
          <w:szCs w:val="32"/>
        </w:rPr>
        <w:t>新冠肺炎疫情防控和救治相关投入增加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21006中医药科目全年完成支出130万元，与上年相比增加45万元，增长52.9%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21007计划生育事务科目全年完成支出143万元，与上年相比减少40万元，下降21.9%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21011行政事业单位医疗科目全年完成支出7294万元，与上年相比增加656万元，增长9.9%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21012财政对基本医疗保险基金的补助科目全年完成支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出90707万元，与上年相比增加3781万元，增长4.3%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21013医疗救助科目全年完成支出5926万元，与上年相比减少117万元，下降1.9%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21014优抚对象医疗科目全年完成支出0万元，与上年相比持平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21015医疗保障管理事务科目全年完成支出4515万元，与上年相比增加3437万元，增长318.8%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21016老龄卫生健康事务(款)科目全年完成支出0万元，与上年相比减少52万元，下降100.0%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21099其他卫生健康支出(款)科目全年完成支出11191万元，与上年相比增加7835万元，增长233.5%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211节能环保支出科目全年完成支出13342万元，与上年相比增加7592万元，增长132.0% </w:t>
      </w:r>
      <w:r w:rsidR="0050061D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50061D">
        <w:rPr>
          <w:rFonts w:ascii="仿宋_GB2312" w:eastAsia="仿宋_GB2312" w:hint="eastAsia"/>
          <w:sz w:val="32"/>
          <w:szCs w:val="32"/>
        </w:rPr>
        <w:t>主要是各县（市、区）环保局上收至市里管理，支出相应增加</w:t>
      </w:r>
    </w:p>
    <w:p w:rsidR="0033430C" w:rsidRPr="0050061D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21101环境保护管理事务科目全年完成支出4493万元，与上年相比增加4150万元，增长1209.9%</w:t>
      </w:r>
      <w:r w:rsidR="0050061D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50061D">
        <w:rPr>
          <w:rFonts w:ascii="仿宋_GB2312" w:eastAsia="仿宋_GB2312" w:hint="eastAsia"/>
          <w:sz w:val="32"/>
          <w:szCs w:val="32"/>
        </w:rPr>
        <w:t>主要是</w:t>
      </w:r>
      <w:r w:rsidR="00C979A5">
        <w:rPr>
          <w:rFonts w:ascii="仿宋_GB2312" w:eastAsia="仿宋_GB2312" w:hint="eastAsia"/>
          <w:sz w:val="32"/>
          <w:szCs w:val="32"/>
        </w:rPr>
        <w:t>2020年</w:t>
      </w:r>
      <w:r w:rsidR="00897CF3">
        <w:rPr>
          <w:rFonts w:ascii="仿宋_GB2312" w:eastAsia="仿宋_GB2312" w:hint="eastAsia"/>
          <w:sz w:val="32"/>
          <w:szCs w:val="32"/>
        </w:rPr>
        <w:t>起</w:t>
      </w:r>
      <w:r w:rsidR="0050061D">
        <w:rPr>
          <w:rFonts w:ascii="仿宋_GB2312" w:eastAsia="仿宋_GB2312" w:hint="eastAsia"/>
          <w:sz w:val="32"/>
          <w:szCs w:val="32"/>
        </w:rPr>
        <w:t>各县（市、区）环保局上收至市里管理，支出相应</w:t>
      </w:r>
      <w:r w:rsidR="00C979A5">
        <w:rPr>
          <w:rFonts w:ascii="仿宋_GB2312" w:eastAsia="仿宋_GB2312" w:hint="eastAsia"/>
          <w:sz w:val="32"/>
          <w:szCs w:val="32"/>
        </w:rPr>
        <w:t>比上年</w:t>
      </w:r>
      <w:r w:rsidR="0050061D">
        <w:rPr>
          <w:rFonts w:ascii="仿宋_GB2312" w:eastAsia="仿宋_GB2312" w:hint="eastAsia"/>
          <w:sz w:val="32"/>
          <w:szCs w:val="32"/>
        </w:rPr>
        <w:t>增加</w:t>
      </w:r>
    </w:p>
    <w:p w:rsidR="00897CF3" w:rsidRPr="0050061D" w:rsidRDefault="0033430C" w:rsidP="00897CF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21102环境监测与监察科目全年完成支出2781万元，与上年相比增加2283万元，增长458.4%</w:t>
      </w:r>
      <w:r w:rsidR="0050061D">
        <w:rPr>
          <w:rFonts w:ascii="仿宋_GB2312" w:eastAsia="仿宋_GB2312" w:hint="eastAsia"/>
          <w:sz w:val="32"/>
          <w:szCs w:val="32"/>
        </w:rPr>
        <w:t>，</w:t>
      </w:r>
      <w:r w:rsidR="00897CF3">
        <w:rPr>
          <w:rFonts w:ascii="仿宋_GB2312" w:eastAsia="仿宋_GB2312" w:hint="eastAsia"/>
          <w:sz w:val="32"/>
          <w:szCs w:val="32"/>
        </w:rPr>
        <w:t>原因主要是2020年起各县（市、区）环保局上收至市里管理，支出相应比上年增加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21103污染防治科目全年完成支出2174万元，与上年相比增加1501万元，增长223.0%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21104自然生态保护科目全年完成支出825万元，与上年相比增加340万元，增长70.1%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21105天然林保护科目全年完成支出0万元，与上年相比持平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21106退耕还林还草科目全年完成支出0万元，与上年相比持平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21107风沙荒漠治理科目全年完成支出0万元，与上年相比持平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21108退牧还草科目全年完成支出0万元，与上年相比持平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21109已垦草原退耕还草(款)科目全年完成支出0万元，与上年相比持平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21110能源节约利用(款)科目全年完成支出1962万元，与上年相比增加1040万元，增长112.8%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21111污染减排科目全年完成支出0万元，与上年相比持平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21112可再生能源(款)科目全年完成支出0万元，与上年相比持平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21113循环经济(款)科目全年完成支出0万元，与上年相比持平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21114能源管理事务科目全年完成支出0万元，与上年相比减少1432万元，下降100.0%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21199其他节能环保支出(款)科目全年完成支出1107万元，与上年相比减少290万元，下降20.8%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212城乡社区支出科目全年完成支出14154万元，与上年相比增加471万元，增长3.4%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21201城乡社区管理事务科目全年完成支出2095万元，与上年相比增加251万元，增长13.6%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21202城乡社区规划与管理(款)科目全年完成支出1305万元，与上年相比减少151万元，下降10.4%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21203城乡社区公共设施科目全年完成支出10501万元，与上年相比增加1163万元，增长12.5%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21205城乡社区环境卫生(款)科目全年完成支出119万元，与上年相比减少547万元，下降82.1%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21206建设市场管理与监督(款)科目全年完成支出0万元，与上年相比持平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21299其他城乡社区支出(款)科目全年完成支出134万元，与上年相比减少245万元，下降64.6%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213农林水支出科目全年完成支出28608万元，与上年相比增加7939万元，增长38.4%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21301农业农村科目全年完成支出4708万元，与上年相比增加399万元，增长9.3%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21302林业和草原科目全年完成支出8124万元，与上年相比增加2288万元，增长39.2%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21303水利科目全年完成支出8101万元，与上年相比增加1471万元，增长22.2%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21305扶贫科目全年完成支出2991万元，与上年相比增加1965万元，增长191.5%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21307农村综合改革科目全年完成支出0万元，与上年相比持平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21308普惠金融发展支出科目全年完成支出4578万元，与上年相比增加1710万元，增长59.6%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21309目标价格补贴科目全年完成支出0万元，与上年相比持平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21399其他农林水支出(款)科目全年完成支出106万元，与上年相比增加106万元，增长0.0%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214交通运输支出科目全年完成支出46951万元，与上年相比增加5084万元，增长12.1%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21401公路水路运输科目全年完成支出27334万元，与上年相比增加6959万元，增长34.2%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21402铁路运输科目全年完成支出7837万元，与上年相比增加7649万元，增长4068.6% </w:t>
      </w:r>
      <w:r w:rsidR="00A155F5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A155F5">
        <w:rPr>
          <w:rFonts w:ascii="仿宋_GB2312" w:eastAsia="仿宋_GB2312" w:hint="eastAsia"/>
          <w:sz w:val="32"/>
          <w:szCs w:val="32"/>
        </w:rPr>
        <w:t>主要是</w:t>
      </w:r>
      <w:r w:rsidR="00FA3755">
        <w:rPr>
          <w:rFonts w:ascii="仿宋_GB2312" w:eastAsia="仿宋_GB2312" w:hint="eastAsia"/>
          <w:sz w:val="32"/>
          <w:szCs w:val="32"/>
        </w:rPr>
        <w:t>2020年</w:t>
      </w:r>
      <w:r w:rsidR="00A155F5">
        <w:rPr>
          <w:rFonts w:ascii="仿宋_GB2312" w:eastAsia="仿宋_GB2312" w:hint="eastAsia"/>
          <w:sz w:val="32"/>
          <w:szCs w:val="32"/>
        </w:rPr>
        <w:t>铁路建设资本金支出比上年增加较多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21403民用航空运输科目全年完成支出4500万元，与上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年相比减少3454万元，下降43.4%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21404成品油价格改革对交通运输的补贴科目全年完成支出247万元，与上年相比减少790万元，下降76.2%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21405邮政业支出科目全年完成支出12万元，与上年相比减少2万元，下降14.3%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21406车辆购置税支出科目全年完成支出6509万元，与上年相比减少5790万元，下降47.1%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21499其他交通运输支出(款)科目全年完成支出512万元，与上年相比增加512万元，增长0.0%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215资源勘探工业信息等支出科目全年完成支出9325万元，与上年相比增加913万元，增长10.9%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21501资源勘探开发科目全年完成支出0万元，与上年相比持平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21502制造业科目全年完成支出0万元，与上年相比持平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21503建筑业科目全年完成支出0万元，与上年相比持平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21505工业和信息产业监管科目全年完成支出100万元，与上年相比持平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21507国有资产监管科目全年完成支出451万元，与上年相比增加67万元，增长17.4%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21508支持中小企业发展和管理支出科目全年完成支出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521万元，与上年相比减少207万元，下降28.4%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21599其他资源勘探工业信息等支出(款)科目全年完成支出8253万元，与上年相比增加1053万元，增长14.6%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216商业服务业等支出科目全年完成支出3049万元，与上年相比减少1050万元，下降25.6%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21602商业流通事务科目全年完成支出422万元，与上年相比减少1953万元，下降82.2%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21606涉外发展服务支出科目全年完成支出2480万元，与上年相比增加1092万元，增长78.7%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21699其他商业服务业等支出(款)科目全年完成支出147万元，与上年相比减少189万元，下降56.3%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217金融支出科目全年完成支出303万元，与上年相比增加65万元，增长27.3%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21701金融部门行政支出科目全年完成支出175万元，与上年相比增加152万元，增长660.9%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21702金融部门监管支出科目全年完成支出100万元，与上年相比持平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21703金融发展支出科目全年完成支出0万元，与上年相比持平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21704金融调控支出科目全年完成支出0万元，与上年相比持平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21799其他金融支出(款)科目全年完成支出28万元，与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上年相比减少87万元，下降75.7%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219援助其他地区支出科目全年完成支出740万元，与上年相比增加36万元，增长5.1%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21901一般公共服务科目全年完成支出0万元，与上年相比持平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21902教育科目全年完成支出0万元，与上年相比持平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21903文化体育与传媒科目全年完成支出0万元，与上年相比持平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21904医疗卫生科目全年完成支出0万元，与上年相比持平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21905节能环保科目全年完成支出0万元，与上年相比持平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21906农业科目全年完成支出0万元，与上年相比持平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21907交通运输科目全年完成支出0万元，与上年相比持平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21908住房保障科目全年完成支出0万元，与上年相比持平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21999其他支出科目全年完成支出740万元，与上年相比增加36万元，增长5.1%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220自然资源海洋气象等支出科目全年完成支出4190万元，与上年相比增加460万元，增长12.3%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22001自然资源事务科目全年完成支出3767万元，与上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 xml:space="preserve">年相比增加536万元，增长16.6%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22005气象事务科目全年完成支出423万元，与上年相比减少5万元，下降1.2%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22099其他自然资源海洋气象等支出(款)科目全年完成支出0万元，与上年相比持平</w:t>
      </w:r>
    </w:p>
    <w:p w:rsidR="0033430C" w:rsidRPr="00AA4550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221住房保障支出科目全年完成支出9393万元，与上年相比增加7333万元，增长356.0% </w:t>
      </w:r>
      <w:r w:rsidR="00AA4550">
        <w:rPr>
          <w:rFonts w:ascii="仿宋_GB2312" w:eastAsia="仿宋_GB2312" w:hint="eastAsia"/>
          <w:sz w:val="32"/>
          <w:szCs w:val="32"/>
        </w:rPr>
        <w:t>，原因主要是2020年保障房建设成本支出比上年增加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22101保障性安居工程支出科目全年完成支出672万元，与上年相比减少89万元，下降11.7%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22102住房改革支出科目全年完成支出262万元，与上年相比增加243万元，增长1278.9%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22103城乡社区住宅科目全年完成支出8459万元，与上年相比增加7179万元，增长560.9% </w:t>
      </w:r>
      <w:r w:rsidR="00243B29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243B29">
        <w:rPr>
          <w:rFonts w:ascii="仿宋_GB2312" w:eastAsia="仿宋_GB2312" w:hint="eastAsia"/>
          <w:sz w:val="32"/>
          <w:szCs w:val="32"/>
        </w:rPr>
        <w:t>主要是</w:t>
      </w:r>
      <w:r w:rsidR="00AA4550">
        <w:rPr>
          <w:rFonts w:ascii="仿宋_GB2312" w:eastAsia="仿宋_GB2312" w:hint="eastAsia"/>
          <w:sz w:val="32"/>
          <w:szCs w:val="32"/>
        </w:rPr>
        <w:t>2020年</w:t>
      </w:r>
      <w:r w:rsidR="00243B29">
        <w:rPr>
          <w:rFonts w:ascii="仿宋_GB2312" w:eastAsia="仿宋_GB2312" w:hint="eastAsia"/>
          <w:sz w:val="32"/>
          <w:szCs w:val="32"/>
        </w:rPr>
        <w:t>保障房建设成本支出</w:t>
      </w:r>
      <w:r w:rsidR="00AA4550">
        <w:rPr>
          <w:rFonts w:ascii="仿宋_GB2312" w:eastAsia="仿宋_GB2312" w:hint="eastAsia"/>
          <w:sz w:val="32"/>
          <w:szCs w:val="32"/>
        </w:rPr>
        <w:t>比上年</w:t>
      </w:r>
      <w:r w:rsidR="00243B29">
        <w:rPr>
          <w:rFonts w:ascii="仿宋_GB2312" w:eastAsia="仿宋_GB2312" w:hint="eastAsia"/>
          <w:sz w:val="32"/>
          <w:szCs w:val="32"/>
        </w:rPr>
        <w:t>增加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222粮油物资储备支出科目全年完成支出964万元，与上年相比减少107万元，下降10.0%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22201粮油事务科目全年完成支出857万元，与上年相比减少204万元，下降19.2%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22202物资事务科目全年完成支出0万元，与上年相比持平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22203能源储备科目全年完成支出0万元，与上年相比</w:t>
      </w:r>
      <w:r w:rsidRPr="00F01948">
        <w:rPr>
          <w:rFonts w:ascii="仿宋_GB2312" w:eastAsia="仿宋_GB2312" w:hint="eastAsia"/>
          <w:sz w:val="32"/>
          <w:szCs w:val="32"/>
        </w:rPr>
        <w:lastRenderedPageBreak/>
        <w:t>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22204粮油储备科目全年完成支出107万元，与上年相比增加107万元，增长0.0%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22205重要商品储备科目全年完成支出0万元，与上年相比减少10万元，下降100.0%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224灾害防治及应急管理支出科目全年完成支出3004万元，与上年相比增加1278万元，增长74.0%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22401应急管理事务科目全年完成支出686万元，与上年相比增加62万元，增长9.9%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22402消防事务科目全年完成支出681万元，与上年相比减少268万元，下降28.2%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22403森林消防事务科目全年完成支出1499万元，与上年相比增加1467万元，增长4584.4% </w:t>
      </w:r>
      <w:r w:rsidR="00243B29">
        <w:rPr>
          <w:rFonts w:ascii="仿宋_GB2312" w:eastAsia="仿宋_GB2312" w:hint="eastAsia"/>
          <w:sz w:val="32"/>
          <w:szCs w:val="32"/>
        </w:rPr>
        <w:t>，</w:t>
      </w:r>
      <w:r w:rsidR="00E86634">
        <w:rPr>
          <w:rFonts w:ascii="仿宋_GB2312" w:eastAsia="仿宋_GB2312" w:hint="eastAsia"/>
          <w:sz w:val="32"/>
          <w:szCs w:val="32"/>
        </w:rPr>
        <w:t>原因</w:t>
      </w:r>
      <w:r w:rsidR="00243B29">
        <w:rPr>
          <w:rFonts w:ascii="仿宋_GB2312" w:eastAsia="仿宋_GB2312" w:hint="eastAsia"/>
          <w:sz w:val="32"/>
          <w:szCs w:val="32"/>
        </w:rPr>
        <w:t>主要是</w:t>
      </w:r>
      <w:r w:rsidR="00E86634">
        <w:rPr>
          <w:rFonts w:ascii="仿宋_GB2312" w:eastAsia="仿宋_GB2312" w:hint="eastAsia"/>
          <w:sz w:val="32"/>
          <w:szCs w:val="32"/>
        </w:rPr>
        <w:t>2020年</w:t>
      </w:r>
      <w:r w:rsidR="00243B29">
        <w:rPr>
          <w:rFonts w:ascii="仿宋_GB2312" w:eastAsia="仿宋_GB2312" w:hint="eastAsia"/>
          <w:sz w:val="32"/>
          <w:szCs w:val="32"/>
        </w:rPr>
        <w:t>森林消防综合救援队伍经费纳入市级财政预算管理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22404煤矿安全科目全年完成支出0万元，与上年相比持平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22405地震事务科目全年完成支出138万元，与上年相比增加17万元，增长14.0%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22406自然灾害防治科目全年完成支出0万元，与上年相比持平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22407自然灾害救灾及恢复重建支出科目全年完成支出0万元，与上年相比持平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lastRenderedPageBreak/>
        <w:t>22499其他灾害防治及应急管理支出科目全年完成支出0万元，与上年相比持平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229其他支出(类)科目全年完成支出24829万元，与上年相比增加22599万元，增长1013.4%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22999其他支出(款)科目全年完成支出24829万元，与上年相比增加22599万元，增长1013.4%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232债务付息支出科目全年完成支出25474万元，与上年相比增加283万元，增长1.1%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23201中央政府国内债务付息支出科目全年完成支出0万元，与上年相比持平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23202中央政府国外债务付息支出科目全年完成支出0万元，与上年相比持平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23203地方政府一般债务付息支出科目全年完成支出25474万元，与上年相比增加283万元，增长1.1%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 xml:space="preserve">233债务发行费用支出科目全年完成支出64万元，与上年相比增加18万元，增长39.1% 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23301中央政府国内债务发行费用支出科目全年完成支出0万元，与上年相比持平</w:t>
      </w:r>
    </w:p>
    <w:p w:rsidR="0033430C" w:rsidRPr="00F01948" w:rsidRDefault="0033430C" w:rsidP="003343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23302中央政府国外债务发行费用支出科目全年完成支出0万元，与上年相比持平</w:t>
      </w:r>
    </w:p>
    <w:p w:rsidR="0033430C" w:rsidRPr="0076109E" w:rsidRDefault="0033430C" w:rsidP="0076109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1948">
        <w:rPr>
          <w:rFonts w:ascii="仿宋_GB2312" w:eastAsia="仿宋_GB2312" w:hint="eastAsia"/>
          <w:sz w:val="32"/>
          <w:szCs w:val="32"/>
        </w:rPr>
        <w:t>23303地方政府一般债务发行费用支出科目全年完成支出64万元，与上年相比增加18万元，增长39.1%</w:t>
      </w:r>
    </w:p>
    <w:p w:rsidR="0023701E" w:rsidRPr="00CA246E" w:rsidRDefault="0023701E" w:rsidP="0076109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76109E">
        <w:rPr>
          <w:rFonts w:ascii="黑体" w:eastAsia="黑体" w:hAnsi="黑体" w:hint="eastAsia"/>
          <w:sz w:val="32"/>
          <w:szCs w:val="32"/>
        </w:rPr>
        <w:lastRenderedPageBreak/>
        <w:t>二、</w:t>
      </w:r>
      <w:r w:rsidR="0076109E" w:rsidRPr="0076109E">
        <w:rPr>
          <w:rFonts w:ascii="黑体" w:eastAsia="黑体" w:hAnsi="黑体" w:hint="eastAsia"/>
          <w:sz w:val="32"/>
          <w:szCs w:val="32"/>
        </w:rPr>
        <w:t>市本级一般公共预算转移支付情况</w:t>
      </w:r>
    </w:p>
    <w:p w:rsidR="0076109E" w:rsidRPr="00495F01" w:rsidRDefault="0076109E" w:rsidP="0076109E">
      <w:pPr>
        <w:pStyle w:val="Defaul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 xml:space="preserve">    2020年度三明市本级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对下税收返还和转移支付决算数为</w:t>
      </w:r>
      <w:r w:rsidRPr="00495F01">
        <w:rPr>
          <w:rFonts w:ascii="仿宋_GB2312" w:eastAsia="仿宋_GB2312" w:hint="eastAsia"/>
          <w:sz w:val="32"/>
          <w:szCs w:val="32"/>
        </w:rPr>
        <w:t>1475022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万元，比上年增加</w:t>
      </w:r>
      <w:r>
        <w:rPr>
          <w:rFonts w:ascii="仿宋_GB2312" w:eastAsia="仿宋_GB2312" w:hint="eastAsia"/>
          <w:sz w:val="32"/>
          <w:szCs w:val="32"/>
        </w:rPr>
        <w:t>144</w:t>
      </w:r>
      <w:r w:rsidRPr="00AC7B54">
        <w:rPr>
          <w:rFonts w:ascii="仿宋_GB2312" w:eastAsia="仿宋_GB2312" w:hint="eastAsia"/>
          <w:sz w:val="32"/>
          <w:szCs w:val="32"/>
        </w:rPr>
        <w:t>242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万元，增长</w:t>
      </w:r>
      <w:r w:rsidRPr="00AC7B54">
        <w:rPr>
          <w:rFonts w:ascii="仿宋_GB2312" w:eastAsia="仿宋_GB2312"/>
          <w:color w:val="auto"/>
          <w:sz w:val="32"/>
          <w:szCs w:val="32"/>
        </w:rPr>
        <w:t>10.84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%。具体情况如下：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（一）税收返还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hint="eastAsia"/>
          <w:color w:val="auto"/>
          <w:sz w:val="32"/>
          <w:szCs w:val="32"/>
        </w:rPr>
        <w:t>2020年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度</w:t>
      </w:r>
      <w:r>
        <w:rPr>
          <w:rFonts w:ascii="仿宋_GB2312" w:eastAsia="仿宋_GB2312" w:hint="eastAsia"/>
          <w:color w:val="auto"/>
          <w:sz w:val="32"/>
          <w:szCs w:val="32"/>
        </w:rPr>
        <w:t>三明市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本级对下税收返还决算数为</w:t>
      </w:r>
      <w:r>
        <w:rPr>
          <w:rFonts w:ascii="仿宋_GB2312" w:eastAsia="仿宋_GB2312" w:hint="eastAsia"/>
          <w:color w:val="auto"/>
          <w:sz w:val="32"/>
          <w:szCs w:val="32"/>
        </w:rPr>
        <w:t>61828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万元，与上年持平。其中：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1.所得税基数返还</w:t>
      </w:r>
      <w:r>
        <w:rPr>
          <w:rFonts w:ascii="仿宋_GB2312" w:eastAsia="仿宋_GB2312" w:hint="eastAsia"/>
          <w:color w:val="auto"/>
          <w:sz w:val="32"/>
          <w:szCs w:val="32"/>
        </w:rPr>
        <w:t>12804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万元，与上年持平。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2.成品油税费改革税收返还</w:t>
      </w:r>
      <w:r>
        <w:rPr>
          <w:rFonts w:ascii="仿宋_GB2312" w:eastAsia="仿宋_GB2312" w:hint="eastAsia"/>
          <w:color w:val="auto"/>
          <w:sz w:val="32"/>
          <w:szCs w:val="32"/>
        </w:rPr>
        <w:t>4160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万元，与上年持平。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3.增值税税收返还</w:t>
      </w:r>
      <w:r>
        <w:rPr>
          <w:rFonts w:ascii="仿宋_GB2312" w:eastAsia="仿宋_GB2312" w:hint="eastAsia"/>
          <w:color w:val="auto"/>
          <w:sz w:val="32"/>
          <w:szCs w:val="32"/>
        </w:rPr>
        <w:t>20316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万元，与上年持平。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4.消费税税收返还</w:t>
      </w:r>
      <w:r>
        <w:rPr>
          <w:rFonts w:ascii="仿宋_GB2312" w:eastAsia="仿宋_GB2312" w:hint="eastAsia"/>
          <w:color w:val="auto"/>
          <w:sz w:val="32"/>
          <w:szCs w:val="32"/>
        </w:rPr>
        <w:t>376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万元，与上年持平。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5.增值税“五五分享”税收返还</w:t>
      </w:r>
      <w:r>
        <w:rPr>
          <w:rFonts w:ascii="仿宋_GB2312" w:eastAsia="仿宋_GB2312" w:hint="eastAsia"/>
          <w:color w:val="auto"/>
          <w:sz w:val="32"/>
          <w:szCs w:val="32"/>
        </w:rPr>
        <w:t>24172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万元，与上年持平。</w:t>
      </w:r>
    </w:p>
    <w:p w:rsidR="0076109E" w:rsidRPr="00495F01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（二）一般性转移支付</w:t>
      </w:r>
    </w:p>
    <w:p w:rsidR="0076109E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 xml:space="preserve">    2020年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度</w:t>
      </w:r>
      <w:r>
        <w:rPr>
          <w:rFonts w:ascii="仿宋_GB2312" w:eastAsia="仿宋_GB2312" w:hint="eastAsia"/>
          <w:color w:val="auto"/>
          <w:sz w:val="32"/>
          <w:szCs w:val="32"/>
        </w:rPr>
        <w:t>三明市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本级对下一般转移支付决算数为</w:t>
      </w:r>
      <w:r>
        <w:rPr>
          <w:rFonts w:ascii="仿宋_GB2312" w:eastAsia="仿宋_GB2312" w:hint="eastAsia"/>
          <w:color w:val="auto"/>
          <w:sz w:val="32"/>
          <w:szCs w:val="32"/>
        </w:rPr>
        <w:t>1172616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万元，比上年增加</w:t>
      </w:r>
      <w:r w:rsidRPr="00AC7B54">
        <w:rPr>
          <w:rFonts w:ascii="仿宋_GB2312" w:eastAsia="仿宋_GB2312"/>
          <w:color w:val="auto"/>
          <w:sz w:val="32"/>
          <w:szCs w:val="32"/>
        </w:rPr>
        <w:t>1005632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万元，增长</w:t>
      </w:r>
      <w:r w:rsidRPr="00AC7B54">
        <w:rPr>
          <w:rFonts w:ascii="仿宋_GB2312" w:eastAsia="仿宋_GB2312"/>
          <w:color w:val="auto"/>
          <w:sz w:val="32"/>
          <w:szCs w:val="32"/>
        </w:rPr>
        <w:t>16.6</w:t>
      </w:r>
      <w:r>
        <w:rPr>
          <w:rFonts w:ascii="仿宋_GB2312" w:eastAsia="仿宋_GB2312" w:hint="eastAsia"/>
          <w:color w:val="auto"/>
          <w:sz w:val="32"/>
          <w:szCs w:val="32"/>
        </w:rPr>
        <w:t>0</w:t>
      </w:r>
      <w:r w:rsidRPr="00495F01">
        <w:rPr>
          <w:rFonts w:ascii="仿宋_GB2312" w:eastAsia="仿宋_GB2312" w:hint="eastAsia"/>
          <w:color w:val="auto"/>
          <w:sz w:val="32"/>
          <w:szCs w:val="32"/>
        </w:rPr>
        <w:t>%，增长原因主要是</w:t>
      </w:r>
      <w:r>
        <w:rPr>
          <w:rFonts w:ascii="仿宋_GB2312" w:eastAsia="仿宋_GB2312" w:hint="eastAsia"/>
          <w:color w:val="auto"/>
          <w:sz w:val="32"/>
          <w:szCs w:val="32"/>
        </w:rPr>
        <w:t>县级基本财力保障机制奖补资金增加。</w:t>
      </w:r>
    </w:p>
    <w:p w:rsidR="0076109E" w:rsidRPr="008D263F" w:rsidRDefault="0076109E" w:rsidP="0076109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cstheme="minorBidi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其中：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.均衡性转移支付支出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206446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万元,较上年增加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8330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4.2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.县级基本财力保障机制奖补资金支出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199718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万元,较上年增加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82973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71.07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%。主要是省级加大对基层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lastRenderedPageBreak/>
        <w:t>“三保”支持力度。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.结算补助支出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7300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7151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-49.48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.产粮（油）大县奖励资金支出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2352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564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19.34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.重点生态功能区转移支付支出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49985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5980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10.69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.固定数额补助支出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600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.革命老区转移支付支出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43335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万元,较上年增加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1318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3.14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.民族地区转移支付支出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275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万元,较上年增加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0.73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贫困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地区转移支付支出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53112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万元,较上年增加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8231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8D263F">
        <w:rPr>
          <w:rFonts w:ascii="仿宋_GB2312" w:eastAsia="仿宋_GB2312" w:cstheme="minorBidi"/>
          <w:color w:val="auto"/>
          <w:sz w:val="32"/>
          <w:szCs w:val="32"/>
        </w:rPr>
        <w:t>18.34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10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.共同财政事权转移支付支出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497709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万元，较上年增加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28927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6.17%。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11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.其他一般性转移支付支出</w:t>
      </w:r>
      <w:r w:rsidRPr="00DD77F2">
        <w:rPr>
          <w:rFonts w:ascii="仿宋_GB2312" w:eastAsia="仿宋_GB2312" w:cstheme="minorBidi"/>
          <w:color w:val="auto"/>
          <w:sz w:val="32"/>
          <w:szCs w:val="32"/>
        </w:rPr>
        <w:t>111784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增加</w:t>
      </w:r>
      <w:r w:rsidRPr="00DD77F2">
        <w:rPr>
          <w:rFonts w:ascii="仿宋_GB2312" w:eastAsia="仿宋_GB2312" w:cstheme="minorBidi"/>
          <w:color w:val="auto"/>
          <w:sz w:val="32"/>
          <w:szCs w:val="32"/>
        </w:rPr>
        <w:t>51931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DD77F2">
        <w:rPr>
          <w:rFonts w:ascii="仿宋_GB2312" w:eastAsia="仿宋_GB2312" w:cstheme="minorBidi"/>
          <w:color w:val="auto"/>
          <w:sz w:val="32"/>
          <w:szCs w:val="32"/>
        </w:rPr>
        <w:t>86.76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（三）专项转移支付</w:t>
      </w:r>
    </w:p>
    <w:p w:rsidR="0076109E" w:rsidRPr="009B6670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theme="minorBidi" w:hint="eastAsia"/>
          <w:color w:val="auto"/>
          <w:sz w:val="32"/>
          <w:szCs w:val="32"/>
        </w:rPr>
        <w:t xml:space="preserve">    2020年度三明市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本级对下专项转移支付决算数为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240578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万元，比上年减少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22742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8.64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，下降原因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theme="minorBidi" w:hint="eastAsia"/>
          <w:color w:val="auto"/>
          <w:sz w:val="32"/>
          <w:szCs w:val="32"/>
        </w:rPr>
        <w:lastRenderedPageBreak/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其中：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1.一般公共服务支出科目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1176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1229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51.1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2.公共安全支出科目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4440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较上年增加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3933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775.74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3.教育支出科目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4816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730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13.16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4.科学技术支出科目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5344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资金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896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20.14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5.文化旅游体育与传媒支出科目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2075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较上年增加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2075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增长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90.02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6.社会保障和就业支出科目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6864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4769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41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.00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7.卫生健康支出科目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16824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较上年增加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4669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增长</w:t>
      </w:r>
      <w:r w:rsidRPr="00762606">
        <w:rPr>
          <w:rFonts w:ascii="仿宋_GB2312" w:eastAsia="仿宋_GB2312" w:cstheme="minorBidi"/>
          <w:color w:val="auto"/>
          <w:sz w:val="32"/>
          <w:szCs w:val="32"/>
        </w:rPr>
        <w:t>38.41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8.节能环保支出科目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46557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较上年增加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3523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增长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8.19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9.城乡社区支出科目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21077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较上年增加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3632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增长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20.82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lastRenderedPageBreak/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10.农林水支出科目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50994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7370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12.63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11.交通运输支出科目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4158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7833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65.32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%。主要是部分项目转列共同财政事权转移支付。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12.资源勘探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工业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信息等支出科目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7875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较上年减少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2038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20.56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13.商业服务业等支出科目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5208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8627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62.36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14.金融支出科目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74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减少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226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75.33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15.自然资源海洋气象等支出科目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37011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15519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29.54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16.住房保障支出科目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15319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万元,较上年增加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12950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万元，增长</w:t>
      </w:r>
      <w:r w:rsidRPr="00266D1E">
        <w:rPr>
          <w:rFonts w:ascii="仿宋_GB2312" w:eastAsia="仿宋_GB2312" w:cstheme="minorBidi"/>
          <w:color w:val="auto"/>
          <w:sz w:val="32"/>
          <w:szCs w:val="32"/>
        </w:rPr>
        <w:t>546.64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%。主要是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2020年我市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不断加大保障性住房建设支持力度影响。</w:t>
      </w:r>
    </w:p>
    <w:p w:rsidR="0076109E" w:rsidRPr="00495F01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17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.灾害防治及应急管理支出科目</w:t>
      </w:r>
      <w:r w:rsidRPr="006F4A31">
        <w:rPr>
          <w:rFonts w:ascii="仿宋_GB2312" w:eastAsia="仿宋_GB2312" w:cstheme="minorBidi"/>
          <w:color w:val="auto"/>
          <w:sz w:val="32"/>
          <w:szCs w:val="32"/>
        </w:rPr>
        <w:t>9056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万元，较上年减少</w:t>
      </w:r>
      <w:r w:rsidRPr="006F4A31">
        <w:rPr>
          <w:rFonts w:ascii="仿宋_GB2312" w:eastAsia="仿宋_GB2312" w:cstheme="minorBidi"/>
          <w:color w:val="auto"/>
          <w:sz w:val="32"/>
          <w:szCs w:val="32"/>
        </w:rPr>
        <w:t>4727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6F4A31">
        <w:rPr>
          <w:rFonts w:ascii="仿宋_GB2312" w:eastAsia="仿宋_GB2312" w:cstheme="minorBidi"/>
          <w:color w:val="auto"/>
          <w:sz w:val="32"/>
          <w:szCs w:val="32"/>
        </w:rPr>
        <w:t>34.3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6109E" w:rsidRPr="0076109E" w:rsidRDefault="0076109E" w:rsidP="0076109E">
      <w:pPr>
        <w:pStyle w:val="Default"/>
        <w:rPr>
          <w:rFonts w:ascii="仿宋_GB2312" w:eastAsia="仿宋_GB2312" w:cstheme="minorBidi"/>
          <w:color w:val="auto"/>
          <w:sz w:val="32"/>
          <w:szCs w:val="32"/>
        </w:rPr>
      </w:pPr>
      <w:r>
        <w:rPr>
          <w:rFonts w:ascii="仿宋_GB2312" w:eastAsia="仿宋_GB2312" w:cs="黑体" w:hint="eastAsia"/>
          <w:color w:val="auto"/>
          <w:sz w:val="32"/>
          <w:szCs w:val="32"/>
        </w:rPr>
        <w:t xml:space="preserve">    </w:t>
      </w:r>
      <w:r>
        <w:rPr>
          <w:rFonts w:ascii="仿宋_GB2312" w:eastAsia="仿宋_GB2312" w:cstheme="minorBidi" w:hint="eastAsia"/>
          <w:color w:val="auto"/>
          <w:sz w:val="32"/>
          <w:szCs w:val="32"/>
        </w:rPr>
        <w:t>18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.其他支出科目</w:t>
      </w:r>
      <w:r w:rsidRPr="006F4A31">
        <w:rPr>
          <w:rFonts w:ascii="仿宋_GB2312" w:eastAsia="仿宋_GB2312" w:cstheme="minorBidi"/>
          <w:color w:val="auto"/>
          <w:sz w:val="32"/>
          <w:szCs w:val="32"/>
        </w:rPr>
        <w:t>1700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万元,较上年减少</w:t>
      </w:r>
      <w:r w:rsidRPr="006F4A31">
        <w:rPr>
          <w:rFonts w:ascii="仿宋_GB2312" w:eastAsia="仿宋_GB2312" w:cstheme="minorBidi"/>
          <w:color w:val="auto"/>
          <w:sz w:val="32"/>
          <w:szCs w:val="32"/>
        </w:rPr>
        <w:t>270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万元，下降</w:t>
      </w:r>
      <w:r w:rsidRPr="006F4A31">
        <w:rPr>
          <w:rFonts w:ascii="仿宋_GB2312" w:eastAsia="仿宋_GB2312" w:cstheme="minorBidi"/>
          <w:color w:val="auto"/>
          <w:sz w:val="32"/>
          <w:szCs w:val="32"/>
        </w:rPr>
        <w:t>13.71</w:t>
      </w:r>
      <w:r w:rsidRPr="00495F01">
        <w:rPr>
          <w:rFonts w:ascii="仿宋_GB2312" w:eastAsia="仿宋_GB2312" w:cstheme="minorBidi" w:hint="eastAsia"/>
          <w:color w:val="auto"/>
          <w:sz w:val="32"/>
          <w:szCs w:val="32"/>
        </w:rPr>
        <w:t>%。</w:t>
      </w:r>
    </w:p>
    <w:p w:rsidR="00722F43" w:rsidRDefault="00722F43" w:rsidP="00722F4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三、政府债务情况</w:t>
      </w:r>
    </w:p>
    <w:p w:rsidR="000149F4" w:rsidRPr="000149F4" w:rsidRDefault="000149F4" w:rsidP="000149F4">
      <w:pPr>
        <w:pStyle w:val="a5"/>
        <w:spacing w:line="580" w:lineRule="exact"/>
        <w:ind w:firstLine="592"/>
        <w:rPr>
          <w:rFonts w:ascii="仿宋_GB2312" w:eastAsia="仿宋_GB2312" w:hAnsi="黑体" w:cs="仿宋"/>
          <w:spacing w:val="-6"/>
        </w:rPr>
      </w:pPr>
      <w:r>
        <w:rPr>
          <w:rFonts w:ascii="仿宋_GB2312" w:eastAsia="仿宋_GB2312" w:hAnsi="黑体" w:cs="仿宋" w:hint="eastAsia"/>
          <w:spacing w:val="-6"/>
        </w:rPr>
        <w:t>（一）</w:t>
      </w:r>
      <w:r w:rsidRPr="000149F4">
        <w:rPr>
          <w:rFonts w:ascii="仿宋_GB2312" w:eastAsia="仿宋_GB2312" w:hAnsi="黑体" w:cs="仿宋" w:hint="eastAsia"/>
          <w:spacing w:val="-6"/>
        </w:rPr>
        <w:t>举借政府债务情况</w:t>
      </w:r>
    </w:p>
    <w:p w:rsidR="000149F4" w:rsidRPr="000149F4" w:rsidRDefault="000149F4" w:rsidP="000149F4">
      <w:pPr>
        <w:pStyle w:val="a5"/>
        <w:spacing w:line="580" w:lineRule="exact"/>
        <w:ind w:firstLine="592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2020年全市新增政府债务限额98.67亿元，其中：市本级</w:t>
      </w:r>
      <w:r w:rsidRPr="000149F4">
        <w:rPr>
          <w:rFonts w:ascii="仿宋_GB2312" w:eastAsia="仿宋_GB2312" w:hAnsi="仿宋" w:cs="仿宋" w:hint="eastAsia"/>
          <w:spacing w:val="-6"/>
        </w:rPr>
        <w:lastRenderedPageBreak/>
        <w:t>新增政府债务限额15.51亿元；县（市、区）新增政府债务限额83.16亿元。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黑体" w:cs="仿宋"/>
          <w:spacing w:val="-6"/>
        </w:rPr>
      </w:pPr>
      <w:r>
        <w:rPr>
          <w:rFonts w:ascii="仿宋_GB2312" w:eastAsia="仿宋_GB2312" w:hAnsi="黑体" w:cs="仿宋" w:hint="eastAsia"/>
          <w:spacing w:val="-6"/>
        </w:rPr>
        <w:t>（二）</w:t>
      </w:r>
      <w:r w:rsidRPr="000149F4">
        <w:rPr>
          <w:rFonts w:ascii="仿宋_GB2312" w:eastAsia="仿宋_GB2312" w:hAnsi="黑体" w:cs="仿宋" w:hint="eastAsia"/>
          <w:spacing w:val="-6"/>
        </w:rPr>
        <w:t>地方政府债务限额余额情况</w:t>
      </w:r>
    </w:p>
    <w:p w:rsidR="000149F4" w:rsidRPr="000149F4" w:rsidRDefault="000149F4" w:rsidP="000149F4">
      <w:pPr>
        <w:pStyle w:val="a5"/>
        <w:spacing w:line="580" w:lineRule="exact"/>
        <w:ind w:firstLine="592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截至2020年底，全市政府债务余额预计执行数590亿元，债务余额严格控制在省上核定的限额736.75亿元内；市本级政府债务余额预计执行数155.66亿元，债务余额严格控制在限额179.72亿元内。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黑体" w:cs="仿宋"/>
          <w:spacing w:val="-6"/>
        </w:rPr>
      </w:pPr>
      <w:r>
        <w:rPr>
          <w:rFonts w:ascii="仿宋_GB2312" w:eastAsia="仿宋_GB2312" w:hAnsi="黑体" w:cs="仿宋" w:hint="eastAsia"/>
          <w:spacing w:val="-6"/>
        </w:rPr>
        <w:t>（三）</w:t>
      </w:r>
      <w:r w:rsidRPr="000149F4">
        <w:rPr>
          <w:rFonts w:ascii="仿宋_GB2312" w:eastAsia="仿宋_GB2312" w:hAnsi="黑体" w:cs="仿宋" w:hint="eastAsia"/>
          <w:spacing w:val="-6"/>
        </w:rPr>
        <w:t>地方政府债券发行情况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2020年省上代我市发行地方政府债券124.01亿元，其中：市本级24.17亿元；县（市、区）99.84亿元。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按债券性质分：发行新增债券97.31亿元、发行再融资债券26.7亿元。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黑体" w:cs="仿宋"/>
          <w:spacing w:val="-6"/>
        </w:rPr>
      </w:pPr>
      <w:r>
        <w:rPr>
          <w:rFonts w:ascii="仿宋_GB2312" w:eastAsia="仿宋_GB2312" w:hAnsi="黑体" w:cs="仿宋" w:hint="eastAsia"/>
          <w:spacing w:val="-6"/>
        </w:rPr>
        <w:t>（四）</w:t>
      </w:r>
      <w:r w:rsidRPr="000149F4">
        <w:rPr>
          <w:rFonts w:ascii="仿宋_GB2312" w:eastAsia="仿宋_GB2312" w:hAnsi="黑体" w:cs="仿宋" w:hint="eastAsia"/>
          <w:spacing w:val="-6"/>
        </w:rPr>
        <w:t>地方政府债券还本付息情况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2020年全市地方政府债券还本付息70.56亿元，其中：市本级地方政府债券还本付息21.31亿元。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2021年全市地方政府债券预计还本付息86.36亿元，其中：</w:t>
      </w:r>
      <w:bookmarkStart w:id="0" w:name="_GoBack"/>
      <w:bookmarkEnd w:id="0"/>
      <w:r w:rsidRPr="000149F4">
        <w:rPr>
          <w:rFonts w:ascii="仿宋_GB2312" w:eastAsia="仿宋_GB2312" w:hAnsi="仿宋" w:cs="仿宋" w:hint="eastAsia"/>
          <w:spacing w:val="-6"/>
        </w:rPr>
        <w:t>市本级地方政府债券预计还本付息19.02亿元。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黑体" w:cs="仿宋"/>
          <w:spacing w:val="-6"/>
        </w:rPr>
      </w:pPr>
      <w:r>
        <w:rPr>
          <w:rFonts w:ascii="仿宋_GB2312" w:eastAsia="仿宋_GB2312" w:hAnsi="黑体" w:cs="仿宋" w:hint="eastAsia"/>
          <w:spacing w:val="-6"/>
        </w:rPr>
        <w:t>（五）</w:t>
      </w:r>
      <w:r w:rsidRPr="000149F4">
        <w:rPr>
          <w:rFonts w:ascii="仿宋_GB2312" w:eastAsia="仿宋_GB2312" w:hAnsi="黑体" w:cs="仿宋" w:hint="eastAsia"/>
          <w:spacing w:val="-6"/>
        </w:rPr>
        <w:t>地方政府债券资金使用安排情况</w:t>
      </w:r>
    </w:p>
    <w:p w:rsidR="000149F4" w:rsidRP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2020年全市地方政府新增债券资金97.31亿元，主要安排用于市政建设、公路、医疗卫生、铁路、教育、文化、农林水利建设、保障性住房、生态建设和环境保护等领域项目建设，其中：市政建设19.5亿元、公路15.77亿元、医疗卫生14.9亿元、铁路7.03亿元、教育6.85亿元、文化6.15亿元、农林水利建设4.04亿元、保障性住房1.06亿元、生态建设和环</w:t>
      </w:r>
      <w:r w:rsidRPr="000149F4">
        <w:rPr>
          <w:rFonts w:ascii="仿宋_GB2312" w:eastAsia="仿宋_GB2312" w:hAnsi="仿宋" w:cs="仿宋" w:hint="eastAsia"/>
          <w:spacing w:val="-6"/>
        </w:rPr>
        <w:lastRenderedPageBreak/>
        <w:t>境保护0.95亿元等；市本级地方政府新增债券资金15.13亿元，主要安排用于：医疗卫生、市政建设、公路</w:t>
      </w:r>
      <w:r w:rsidRPr="000149F4">
        <w:rPr>
          <w:rFonts w:ascii="仿宋_GB2312" w:eastAsia="仿宋_GB2312" w:hAnsi="仿宋" w:cs="仿宋" w:hint="eastAsia"/>
          <w:spacing w:val="-6"/>
        </w:rPr>
        <w:tab/>
        <w:t>、教育等领域项目建设，其中：医疗卫生6.48亿元、市政建设2.73亿元、公路</w:t>
      </w:r>
      <w:r w:rsidRPr="000149F4">
        <w:rPr>
          <w:rFonts w:ascii="仿宋_GB2312" w:eastAsia="仿宋_GB2312" w:hAnsi="仿宋" w:cs="仿宋" w:hint="eastAsia"/>
          <w:spacing w:val="-6"/>
        </w:rPr>
        <w:tab/>
        <w:t>2.01亿元、教育1.15亿元等。</w:t>
      </w:r>
    </w:p>
    <w:p w:rsidR="000149F4" w:rsidRDefault="000149F4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  <w:r w:rsidRPr="000149F4">
        <w:rPr>
          <w:rFonts w:ascii="仿宋_GB2312" w:eastAsia="仿宋_GB2312" w:hAnsi="仿宋" w:cs="仿宋" w:hint="eastAsia"/>
          <w:spacing w:val="-6"/>
        </w:rPr>
        <w:t>2020年全市地方政府再融资债券资金26.7亿元，其中：市本级地方政府再融资债券资金9.04亿元，全部用于偿还2020年到期应偿还的政府存量债务。</w:t>
      </w:r>
    </w:p>
    <w:p w:rsidR="00167446" w:rsidRPr="00167446" w:rsidRDefault="00167446" w:rsidP="00167446">
      <w:pPr>
        <w:pStyle w:val="a5"/>
        <w:spacing w:line="580" w:lineRule="exact"/>
        <w:rPr>
          <w:rFonts w:ascii="黑体" w:eastAsia="黑体" w:hAnsi="黑体" w:cstheme="minorBidi"/>
          <w:snapToGrid/>
          <w:kern w:val="2"/>
          <w:szCs w:val="32"/>
        </w:rPr>
      </w:pPr>
      <w:r w:rsidRPr="00167446">
        <w:rPr>
          <w:rFonts w:ascii="黑体" w:eastAsia="黑体" w:hAnsi="黑体" w:cstheme="minorBidi" w:hint="eastAsia"/>
          <w:snapToGrid/>
          <w:kern w:val="2"/>
          <w:szCs w:val="32"/>
        </w:rPr>
        <w:t>四、预算绩效开展情况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推进全面实施预算绩效管理工作，加快“全方位、全过程、全覆盖”预算绩效管理体系建设，规范管理流程，抓实预算绩效管理重点环节。</w:t>
      </w:r>
    </w:p>
    <w:p w:rsidR="00167446" w:rsidRPr="009A4F91" w:rsidRDefault="00167446" w:rsidP="00167446">
      <w:pPr>
        <w:pStyle w:val="a5"/>
        <w:spacing w:line="580" w:lineRule="exact"/>
        <w:rPr>
          <w:rFonts w:ascii="仿宋_GB2312" w:eastAsia="仿宋_GB2312" w:hAnsi="仿宋" w:cs="仿宋"/>
          <w:bCs/>
          <w:spacing w:val="-6"/>
        </w:rPr>
      </w:pPr>
      <w:r w:rsidRPr="009A4F91">
        <w:rPr>
          <w:rFonts w:ascii="仿宋_GB2312" w:eastAsia="仿宋_GB2312" w:hAnsi="仿宋" w:cs="仿宋" w:hint="eastAsia"/>
          <w:bCs/>
          <w:spacing w:val="-6"/>
        </w:rPr>
        <w:t>（一）加强制度建设，规范管理流程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围绕《关于全面实施预算绩效管理的若干措施》（明委办发[2019]37号）文件精神，出台预算绩效管理制度和实施细则，推进规范操作，完善涵盖绩效目标管理、绩效运行监控、绩效评价管理、评价结果应用等各环节的管理流程。基本形成“1+X”的制度体系，让全面实施预算绩效管理工作有章可循。</w:t>
      </w:r>
    </w:p>
    <w:p w:rsidR="00167446" w:rsidRPr="009A4F91" w:rsidRDefault="00167446" w:rsidP="00167446">
      <w:pPr>
        <w:pStyle w:val="a5"/>
        <w:spacing w:line="580" w:lineRule="exact"/>
        <w:ind w:firstLineChars="200" w:firstLine="618"/>
        <w:rPr>
          <w:rFonts w:ascii="仿宋_GB2312" w:eastAsia="仿宋_GB2312" w:hAnsi="仿宋" w:cs="仿宋"/>
          <w:bCs/>
          <w:spacing w:val="-6"/>
        </w:rPr>
      </w:pPr>
      <w:r w:rsidRPr="00167446">
        <w:rPr>
          <w:rFonts w:ascii="仿宋_GB2312" w:eastAsia="仿宋_GB2312" w:hAnsi="仿宋" w:cs="仿宋" w:hint="eastAsia"/>
          <w:b/>
          <w:bCs/>
          <w:spacing w:val="-6"/>
        </w:rPr>
        <w:t xml:space="preserve"> </w:t>
      </w:r>
      <w:r w:rsidRPr="009A4F91">
        <w:rPr>
          <w:rFonts w:ascii="仿宋_GB2312" w:eastAsia="仿宋_GB2312" w:hAnsi="仿宋" w:cs="仿宋" w:hint="eastAsia"/>
          <w:bCs/>
          <w:spacing w:val="-6"/>
        </w:rPr>
        <w:t>（二）规范工作标准，在操作层面打造标准化工作流程</w:t>
      </w:r>
    </w:p>
    <w:p w:rsidR="00167446" w:rsidRPr="009A4F91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一是操作流程标准化，从工作内容、具体流程、责任分工和结果应用等进行规范和引导，促进预算绩效管理工作规范化、制度化。二是指标体系标准化，按照“可量化、可审核、可监控、可评价、可操作”的思路原则构建分行业、分领域、分层次的核心绩效指标和标准体系，最大程度实现了指标的普遍适用性，提高绩效指标的科学性。</w:t>
      </w:r>
      <w:r w:rsidRPr="00167446">
        <w:rPr>
          <w:rFonts w:ascii="仿宋_GB2312" w:eastAsia="仿宋_GB2312" w:hAnsi="仿宋" w:cs="仿宋" w:hint="eastAsia"/>
          <w:spacing w:val="-6"/>
        </w:rPr>
        <w:br/>
      </w:r>
      <w:r w:rsidRPr="00167446">
        <w:rPr>
          <w:rFonts w:ascii="仿宋_GB2312" w:eastAsia="仿宋_GB2312" w:hAnsi="仿宋" w:cs="仿宋" w:hint="eastAsia"/>
          <w:spacing w:val="-6"/>
        </w:rPr>
        <w:lastRenderedPageBreak/>
        <w:t xml:space="preserve">   </w:t>
      </w:r>
      <w:r w:rsidRPr="009A4F91">
        <w:rPr>
          <w:rFonts w:ascii="仿宋_GB2312" w:eastAsia="仿宋_GB2312" w:hAnsi="仿宋" w:cs="仿宋" w:hint="eastAsia"/>
          <w:bCs/>
          <w:spacing w:val="-6"/>
        </w:rPr>
        <w:t>（三）深化推进，抓实绩效管理重点环节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1.项目立项环节把好绩效关口。绩效关口前移，将事前绩效评估作为申请设立新增重大政策和项目的必备要件，评估结果作为申请、安排预算和改进管理的重要参考依据。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2.预算编制环节立好绩效导向。多措并举强化绩效目标管理，建立健全绩效目标会审机制，规范绩效目标设置，突出绩效指标设置的可测量性，以绩效目标与预算安排的匹配性为中心，以预算绩效管理信息化为抓手，强调预算资金与绩效目标的匹配性。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3.预算执行环节用好绩效纠偏。对预算执行进度和绩效目标完成程度实施“双监控”，加强数据分析，及时对偏离目标情况进行预警纠偏。推进各预算部门、单位加强执行过程中的管理优化。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4.决算环节抓好绩效评价。抓实抓细绩效评价工作，选取涉及民生、影响力大、社会关注度较高的项目，从项目立项情况、绩效目标设定情况、资金投入和使用情况、绩效目标的实现程度及效果等方面开展绩效评价。</w:t>
      </w:r>
    </w:p>
    <w:p w:rsidR="00167446" w:rsidRPr="00167446" w:rsidRDefault="00167446" w:rsidP="00167446">
      <w:pPr>
        <w:pStyle w:val="a5"/>
        <w:spacing w:line="580" w:lineRule="exact"/>
        <w:rPr>
          <w:rFonts w:ascii="仿宋_GB2312" w:eastAsia="仿宋_GB2312" w:hAnsi="仿宋" w:cs="仿宋"/>
          <w:spacing w:val="-6"/>
        </w:rPr>
      </w:pPr>
      <w:r w:rsidRPr="00167446">
        <w:rPr>
          <w:rFonts w:ascii="仿宋_GB2312" w:eastAsia="仿宋_GB2312" w:hAnsi="仿宋" w:cs="仿宋" w:hint="eastAsia"/>
          <w:spacing w:val="-6"/>
        </w:rPr>
        <w:t>2020年度，市级财政部门对科技、农业、教育、社会保障等领域7个财政支出项目、1项政策和2个部门整体支出开展重点绩效评价。其中，绩效等级达到“优”的有1项，达到“良”的有6项，评为“中”的有3项。</w:t>
      </w:r>
    </w:p>
    <w:p w:rsidR="00167446" w:rsidRPr="00167446" w:rsidRDefault="00167446" w:rsidP="00167446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</w:p>
    <w:p w:rsidR="00167446" w:rsidRPr="00167446" w:rsidRDefault="00167446" w:rsidP="000149F4">
      <w:pPr>
        <w:pStyle w:val="a5"/>
        <w:spacing w:line="580" w:lineRule="exact"/>
        <w:ind w:firstLineChars="200" w:firstLine="616"/>
        <w:rPr>
          <w:rFonts w:ascii="仿宋_GB2312" w:eastAsia="仿宋_GB2312" w:hAnsi="仿宋" w:cs="仿宋"/>
          <w:spacing w:val="-6"/>
        </w:rPr>
      </w:pPr>
    </w:p>
    <w:sectPr w:rsidR="00167446" w:rsidRPr="00167446" w:rsidSect="001316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721" w:rsidRDefault="00201721" w:rsidP="00835F04">
      <w:r>
        <w:separator/>
      </w:r>
    </w:p>
  </w:endnote>
  <w:endnote w:type="continuationSeparator" w:id="1">
    <w:p w:rsidR="00201721" w:rsidRDefault="00201721" w:rsidP="0083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91" w:rsidRDefault="009A4F9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91" w:rsidRDefault="009A4F9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91" w:rsidRDefault="009A4F9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721" w:rsidRDefault="00201721" w:rsidP="00835F04">
      <w:r>
        <w:separator/>
      </w:r>
    </w:p>
  </w:footnote>
  <w:footnote w:type="continuationSeparator" w:id="1">
    <w:p w:rsidR="00201721" w:rsidRDefault="00201721" w:rsidP="00835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91" w:rsidRDefault="009A4F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8B7" w:rsidRDefault="005758B7" w:rsidP="009A4F9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91" w:rsidRDefault="009A4F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5F04"/>
    <w:rsid w:val="000149F4"/>
    <w:rsid w:val="000A11CF"/>
    <w:rsid w:val="000C4EC4"/>
    <w:rsid w:val="000D610C"/>
    <w:rsid w:val="000E005D"/>
    <w:rsid w:val="00127A90"/>
    <w:rsid w:val="00131601"/>
    <w:rsid w:val="00135F25"/>
    <w:rsid w:val="00146ACC"/>
    <w:rsid w:val="00164246"/>
    <w:rsid w:val="00167446"/>
    <w:rsid w:val="001E3C59"/>
    <w:rsid w:val="00201721"/>
    <w:rsid w:val="0023701E"/>
    <w:rsid w:val="00243B29"/>
    <w:rsid w:val="002D3AA7"/>
    <w:rsid w:val="002F1395"/>
    <w:rsid w:val="0033430C"/>
    <w:rsid w:val="00346612"/>
    <w:rsid w:val="00352607"/>
    <w:rsid w:val="00416652"/>
    <w:rsid w:val="004371D7"/>
    <w:rsid w:val="00437594"/>
    <w:rsid w:val="00444584"/>
    <w:rsid w:val="00454D13"/>
    <w:rsid w:val="0050061D"/>
    <w:rsid w:val="0051364A"/>
    <w:rsid w:val="00514EA8"/>
    <w:rsid w:val="00524D5D"/>
    <w:rsid w:val="005634B3"/>
    <w:rsid w:val="005758B7"/>
    <w:rsid w:val="00580F50"/>
    <w:rsid w:val="00590B15"/>
    <w:rsid w:val="005B0C20"/>
    <w:rsid w:val="005E7D7A"/>
    <w:rsid w:val="00610E5B"/>
    <w:rsid w:val="0061517B"/>
    <w:rsid w:val="006759EA"/>
    <w:rsid w:val="006763F4"/>
    <w:rsid w:val="00682037"/>
    <w:rsid w:val="00690124"/>
    <w:rsid w:val="006D5ADD"/>
    <w:rsid w:val="0071321B"/>
    <w:rsid w:val="00722F43"/>
    <w:rsid w:val="00752093"/>
    <w:rsid w:val="0076109E"/>
    <w:rsid w:val="0076305C"/>
    <w:rsid w:val="007E2E4C"/>
    <w:rsid w:val="00824FD1"/>
    <w:rsid w:val="00835F04"/>
    <w:rsid w:val="008906AB"/>
    <w:rsid w:val="008966DF"/>
    <w:rsid w:val="00896AB6"/>
    <w:rsid w:val="00897CF3"/>
    <w:rsid w:val="008A2EB5"/>
    <w:rsid w:val="008A56D6"/>
    <w:rsid w:val="00904F03"/>
    <w:rsid w:val="0092523F"/>
    <w:rsid w:val="00941794"/>
    <w:rsid w:val="00947AE8"/>
    <w:rsid w:val="00954F7F"/>
    <w:rsid w:val="009A4F91"/>
    <w:rsid w:val="009B039E"/>
    <w:rsid w:val="009E787C"/>
    <w:rsid w:val="00A11E1F"/>
    <w:rsid w:val="00A155F5"/>
    <w:rsid w:val="00A62037"/>
    <w:rsid w:val="00AA21FF"/>
    <w:rsid w:val="00AA4550"/>
    <w:rsid w:val="00AB22B1"/>
    <w:rsid w:val="00AB35FE"/>
    <w:rsid w:val="00AB379D"/>
    <w:rsid w:val="00AF159F"/>
    <w:rsid w:val="00B2499F"/>
    <w:rsid w:val="00B71D16"/>
    <w:rsid w:val="00BD2EE8"/>
    <w:rsid w:val="00BE5772"/>
    <w:rsid w:val="00C979A5"/>
    <w:rsid w:val="00CA246E"/>
    <w:rsid w:val="00CB26E8"/>
    <w:rsid w:val="00CD4061"/>
    <w:rsid w:val="00DC4E19"/>
    <w:rsid w:val="00DE79A2"/>
    <w:rsid w:val="00E6181B"/>
    <w:rsid w:val="00E86634"/>
    <w:rsid w:val="00ED14B2"/>
    <w:rsid w:val="00EF4887"/>
    <w:rsid w:val="00F017CE"/>
    <w:rsid w:val="00F66FC9"/>
    <w:rsid w:val="00FA3755"/>
    <w:rsid w:val="00FA408D"/>
    <w:rsid w:val="00FC7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5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5F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5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5F04"/>
    <w:rPr>
      <w:sz w:val="18"/>
      <w:szCs w:val="18"/>
    </w:rPr>
  </w:style>
  <w:style w:type="paragraph" w:customStyle="1" w:styleId="Default">
    <w:name w:val="Default"/>
    <w:rsid w:val="0076109E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customStyle="1" w:styleId="a5">
    <w:name w:val="内容"/>
    <w:basedOn w:val="a"/>
    <w:qFormat/>
    <w:rsid w:val="000149F4"/>
    <w:pPr>
      <w:snapToGrid w:val="0"/>
      <w:spacing w:line="640" w:lineRule="exact"/>
      <w:ind w:firstLine="640"/>
    </w:pPr>
    <w:rPr>
      <w:rFonts w:ascii="Calibri" w:eastAsia="宋体" w:hAnsi="楷体" w:cs="Times New Roman"/>
      <w:snapToGrid w:val="0"/>
      <w:kern w:val="0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27</Pages>
  <Words>1986</Words>
  <Characters>11324</Characters>
  <Application>Microsoft Office Word</Application>
  <DocSecurity>0</DocSecurity>
  <Lines>94</Lines>
  <Paragraphs>26</Paragraphs>
  <ScaleCrop>false</ScaleCrop>
  <Company>china</Company>
  <LinksUpToDate>false</LinksUpToDate>
  <CharactersWithSpaces>13284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26</cp:revision>
  <dcterms:created xsi:type="dcterms:W3CDTF">2021-07-16T03:17:00Z</dcterms:created>
  <dcterms:modified xsi:type="dcterms:W3CDTF">2022-09-08T07:51:00Z</dcterms:modified>
</cp:coreProperties>
</file>