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napToGrid w:val="0"/>
        <w:spacing w:before="0" w:beforeLines="0" w:after="0" w:afterLines="0" w:line="0" w:lineRule="atLeast"/>
        <w:jc w:val="center"/>
        <w:textAlignment w:val="auto"/>
        <w:rPr>
          <w:rFonts w:hint="eastAsia" w:ascii="方正小标宋简体" w:hAnsi="方正小标宋简体" w:eastAsia="方正小标宋简体" w:cs="方正小标宋简体"/>
          <w:color w:val="auto"/>
          <w:sz w:val="44"/>
          <w:szCs w:val="44"/>
          <w:lang w:eastAsia="zh-CN"/>
        </w:rPr>
      </w:pPr>
      <w:bookmarkStart w:id="0" w:name="_GoBack"/>
      <w:bookmarkEnd w:id="0"/>
      <w:r>
        <w:rPr>
          <w:rFonts w:hint="eastAsia" w:ascii="方正小标宋简体" w:hAnsi="方正小标宋简体" w:eastAsia="方正小标宋简体" w:cs="方正小标宋简体"/>
          <w:color w:val="auto"/>
          <w:sz w:val="44"/>
          <w:szCs w:val="44"/>
        </w:rPr>
        <w:t>三明市</w:t>
      </w:r>
      <w:r>
        <w:rPr>
          <w:rFonts w:hint="eastAsia" w:ascii="方正小标宋简体" w:hAnsi="方正小标宋简体" w:eastAsia="方正小标宋简体" w:cs="方正小标宋简体"/>
          <w:color w:val="auto"/>
          <w:sz w:val="44"/>
          <w:szCs w:val="44"/>
          <w:lang w:eastAsia="zh-CN"/>
        </w:rPr>
        <w:t>市级财政</w:t>
      </w:r>
      <w:r>
        <w:rPr>
          <w:rFonts w:hint="eastAsia" w:ascii="方正小标宋简体" w:hAnsi="方正小标宋简体" w:eastAsia="方正小标宋简体" w:cs="方正小标宋简体"/>
          <w:color w:val="auto"/>
          <w:sz w:val="44"/>
          <w:szCs w:val="44"/>
        </w:rPr>
        <w:t>投资评审</w:t>
      </w:r>
      <w:r>
        <w:rPr>
          <w:rFonts w:hint="eastAsia" w:ascii="方正小标宋简体" w:hAnsi="方正小标宋简体" w:eastAsia="方正小标宋简体" w:cs="方正小标宋简体"/>
          <w:color w:val="auto"/>
          <w:sz w:val="44"/>
          <w:szCs w:val="44"/>
          <w:lang w:eastAsia="zh-CN"/>
        </w:rPr>
        <w:t>中介机构</w:t>
      </w:r>
      <w:r>
        <w:rPr>
          <w:rFonts w:hint="eastAsia" w:ascii="方正小标宋简体" w:hAnsi="方正小标宋简体" w:eastAsia="方正小标宋简体" w:cs="方正小标宋简体"/>
          <w:color w:val="auto"/>
          <w:sz w:val="44"/>
          <w:szCs w:val="44"/>
        </w:rPr>
        <w:t>管理办法</w:t>
      </w:r>
      <w:r>
        <w:rPr>
          <w:rFonts w:hint="eastAsia" w:ascii="方正小标宋简体" w:hAnsi="方正小标宋简体" w:eastAsia="方正小标宋简体" w:cs="方正小标宋简体"/>
          <w:color w:val="auto"/>
          <w:sz w:val="44"/>
          <w:szCs w:val="44"/>
          <w:lang w:eastAsia="zh-CN"/>
        </w:rPr>
        <w:t>（试行）</w:t>
      </w:r>
    </w:p>
    <w:p>
      <w:pPr>
        <w:keepNext w:val="0"/>
        <w:keepLines w:val="0"/>
        <w:pageBreakBefore w:val="0"/>
        <w:kinsoku/>
        <w:wordWrap/>
        <w:overflowPunct/>
        <w:topLinePunct w:val="0"/>
        <w:autoSpaceDE/>
        <w:autoSpaceDN/>
        <w:bidi w:val="0"/>
        <w:adjustRightInd w:val="0"/>
        <w:snapToGrid w:val="0"/>
        <w:spacing w:before="871" w:beforeLines="150" w:after="871" w:afterLines="150" w:line="0" w:lineRule="atLeast"/>
        <w:ind w:firstLine="0" w:firstLineChars="0"/>
        <w:jc w:val="center"/>
        <w:textAlignment w:val="auto"/>
        <w:rPr>
          <w:rFonts w:hint="eastAsia" w:ascii="黑体" w:hAnsi="黑体" w:eastAsia="黑体"/>
          <w:b w:val="0"/>
          <w:bCs/>
          <w:color w:val="auto"/>
          <w:sz w:val="32"/>
          <w:highlight w:val="none"/>
        </w:rPr>
      </w:pPr>
      <w:r>
        <w:rPr>
          <w:rFonts w:hint="eastAsia" w:ascii="黑体" w:hAnsi="黑体" w:eastAsia="黑体"/>
          <w:b w:val="0"/>
          <w:bCs/>
          <w:color w:val="auto"/>
          <w:sz w:val="32"/>
          <w:highlight w:val="none"/>
        </w:rPr>
        <w:t>第一章  总  则</w:t>
      </w:r>
    </w:p>
    <w:p>
      <w:pPr>
        <w:keepNext w:val="0"/>
        <w:keepLines w:val="0"/>
        <w:pageBreakBefore w:val="0"/>
        <w:kinsoku/>
        <w:wordWrap/>
        <w:overflowPunct/>
        <w:topLinePunct w:val="0"/>
        <w:autoSpaceDE/>
        <w:autoSpaceDN/>
        <w:bidi w:val="0"/>
        <w:adjustRightInd w:val="0"/>
        <w:snapToGrid w:val="0"/>
        <w:spacing w:beforeLines="0" w:afterLines="0" w:line="0" w:lineRule="atLeast"/>
        <w:ind w:left="0" w:firstLine="636" w:firstLineChars="200"/>
        <w:textAlignment w:val="auto"/>
        <w:rPr>
          <w:rFonts w:hint="eastAsia" w:ascii="仿宋_GB2312" w:eastAsia="仿宋_GB2312" w:cs="宋体"/>
          <w:color w:val="auto"/>
          <w:kern w:val="0"/>
          <w:sz w:val="32"/>
          <w:szCs w:val="32"/>
          <w:highlight w:val="none"/>
        </w:rPr>
      </w:pPr>
      <w:r>
        <w:rPr>
          <w:rFonts w:hint="eastAsia" w:ascii="黑体" w:hAnsi="黑体" w:eastAsia="黑体" w:cs="黑体"/>
          <w:b w:val="0"/>
          <w:bCs/>
          <w:color w:val="auto"/>
          <w:kern w:val="0"/>
          <w:sz w:val="32"/>
          <w:szCs w:val="32"/>
          <w:highlight w:val="none"/>
        </w:rPr>
        <w:t xml:space="preserve">第一条 </w:t>
      </w:r>
      <w:r>
        <w:rPr>
          <w:rFonts w:hint="eastAsia" w:ascii="仿宋_GB2312" w:eastAsia="仿宋_GB2312" w:cs="宋体"/>
          <w:b/>
          <w:color w:val="auto"/>
          <w:kern w:val="0"/>
          <w:sz w:val="32"/>
          <w:szCs w:val="32"/>
          <w:highlight w:val="none"/>
        </w:rPr>
        <w:t xml:space="preserve"> </w:t>
      </w:r>
      <w:r>
        <w:rPr>
          <w:rFonts w:hint="eastAsia" w:ascii="仿宋_GB2312" w:eastAsia="仿宋_GB2312" w:cs="宋体"/>
          <w:color w:val="auto"/>
          <w:kern w:val="0"/>
          <w:sz w:val="32"/>
          <w:szCs w:val="32"/>
          <w:highlight w:val="none"/>
        </w:rPr>
        <w:t>为进一步规范</w:t>
      </w:r>
      <w:r>
        <w:rPr>
          <w:rFonts w:hint="eastAsia" w:ascii="仿宋_GB2312" w:eastAsia="仿宋_GB2312" w:cs="宋体"/>
          <w:color w:val="auto"/>
          <w:kern w:val="0"/>
          <w:sz w:val="32"/>
          <w:szCs w:val="32"/>
          <w:highlight w:val="none"/>
          <w:lang w:eastAsia="zh-CN"/>
        </w:rPr>
        <w:t>三明市市级</w:t>
      </w:r>
      <w:r>
        <w:rPr>
          <w:rFonts w:hint="eastAsia" w:ascii="仿宋_GB2312" w:hAnsi="仿宋" w:eastAsia="仿宋_GB2312" w:cs="宋体"/>
          <w:color w:val="auto"/>
          <w:kern w:val="0"/>
          <w:sz w:val="32"/>
          <w:szCs w:val="32"/>
        </w:rPr>
        <w:t>财政性资金投资项目</w:t>
      </w:r>
      <w:r>
        <w:rPr>
          <w:rFonts w:hint="eastAsia" w:ascii="仿宋_GB2312" w:eastAsia="仿宋_GB2312" w:cs="宋体"/>
          <w:color w:val="auto"/>
          <w:kern w:val="0"/>
          <w:sz w:val="32"/>
          <w:szCs w:val="32"/>
          <w:highlight w:val="none"/>
        </w:rPr>
        <w:t>评审</w:t>
      </w:r>
      <w:r>
        <w:rPr>
          <w:rFonts w:hint="eastAsia" w:ascii="仿宋_GB2312" w:eastAsia="仿宋_GB2312" w:cs="宋体"/>
          <w:color w:val="auto"/>
          <w:kern w:val="0"/>
          <w:sz w:val="32"/>
          <w:szCs w:val="32"/>
          <w:highlight w:val="none"/>
          <w:lang w:eastAsia="zh-CN"/>
        </w:rPr>
        <w:t>工作</w:t>
      </w:r>
      <w:r>
        <w:rPr>
          <w:rFonts w:hint="eastAsia" w:ascii="仿宋_GB2312" w:eastAsia="仿宋_GB2312" w:cs="宋体"/>
          <w:color w:val="auto"/>
          <w:kern w:val="0"/>
          <w:sz w:val="32"/>
          <w:szCs w:val="32"/>
          <w:highlight w:val="none"/>
        </w:rPr>
        <w:t>，</w:t>
      </w:r>
      <w:r>
        <w:rPr>
          <w:rFonts w:hint="eastAsia" w:ascii="仿宋_GB2312" w:eastAsia="仿宋_GB2312" w:cs="宋体"/>
          <w:color w:val="auto"/>
          <w:kern w:val="0"/>
          <w:sz w:val="32"/>
          <w:szCs w:val="32"/>
          <w:highlight w:val="none"/>
          <w:lang w:eastAsia="zh-CN"/>
        </w:rPr>
        <w:t>加强对参与财政投资评审工作的社会中介机构的</w:t>
      </w:r>
      <w:r>
        <w:rPr>
          <w:rFonts w:hint="eastAsia" w:ascii="仿宋_GB2312" w:eastAsia="仿宋_GB2312" w:cs="宋体"/>
          <w:color w:val="auto"/>
          <w:kern w:val="0"/>
          <w:sz w:val="32"/>
          <w:szCs w:val="32"/>
          <w:highlight w:val="none"/>
        </w:rPr>
        <w:t>管理，</w:t>
      </w:r>
      <w:r>
        <w:rPr>
          <w:rFonts w:hint="eastAsia" w:ascii="仿宋_GB2312" w:hAnsi="仿宋" w:eastAsia="仿宋_GB2312" w:cs="宋体"/>
          <w:color w:val="auto"/>
          <w:kern w:val="0"/>
          <w:sz w:val="32"/>
          <w:szCs w:val="32"/>
        </w:rPr>
        <w:t>根据财政部《财政投资评审管理规定》（财建〔2009〕648号）、</w:t>
      </w:r>
      <w:r>
        <w:rPr>
          <w:rFonts w:hint="eastAsia" w:ascii="仿宋_GB2312" w:hAnsi="仿宋" w:eastAsia="仿宋_GB2312"/>
          <w:color w:val="auto"/>
          <w:sz w:val="32"/>
          <w:szCs w:val="32"/>
        </w:rPr>
        <w:t>福建省财政厅</w:t>
      </w:r>
      <w:r>
        <w:rPr>
          <w:rFonts w:hint="eastAsia" w:ascii="仿宋_GB2312" w:hAnsi="仿宋" w:eastAsia="仿宋_GB2312" w:cs="宋体"/>
          <w:color w:val="auto"/>
          <w:kern w:val="0"/>
          <w:sz w:val="32"/>
          <w:szCs w:val="32"/>
        </w:rPr>
        <w:t>《关于修订〈福建省省级财政性资金投资项目对外委托评审及付费管理办法〉的通知》（闽财建〔2008〕141号）</w:t>
      </w:r>
      <w:r>
        <w:rPr>
          <w:rFonts w:hint="eastAsia" w:ascii="仿宋_GB2312" w:hAnsi="宋体" w:eastAsia="仿宋_GB2312"/>
          <w:color w:val="auto"/>
          <w:sz w:val="32"/>
          <w:szCs w:val="32"/>
          <w:highlight w:val="none"/>
        </w:rPr>
        <w:t>等</w:t>
      </w:r>
      <w:r>
        <w:rPr>
          <w:rFonts w:hint="eastAsia" w:ascii="仿宋_GB2312" w:hAnsi="仿宋" w:eastAsia="仿宋_GB2312" w:cs="宋体"/>
          <w:color w:val="auto"/>
          <w:kern w:val="0"/>
          <w:sz w:val="32"/>
          <w:szCs w:val="32"/>
        </w:rPr>
        <w:t>有关</w:t>
      </w:r>
      <w:r>
        <w:rPr>
          <w:rFonts w:hint="eastAsia" w:ascii="仿宋_GB2312" w:hAnsi="仿宋" w:eastAsia="仿宋_GB2312" w:cs="宋体"/>
          <w:color w:val="auto"/>
          <w:kern w:val="0"/>
          <w:sz w:val="32"/>
          <w:szCs w:val="32"/>
          <w:lang w:eastAsia="zh-CN"/>
        </w:rPr>
        <w:t>文件</w:t>
      </w:r>
      <w:r>
        <w:rPr>
          <w:rFonts w:hint="eastAsia" w:ascii="仿宋_GB2312" w:eastAsia="仿宋_GB2312" w:cs="宋体"/>
          <w:color w:val="auto"/>
          <w:kern w:val="0"/>
          <w:sz w:val="32"/>
          <w:szCs w:val="32"/>
          <w:highlight w:val="none"/>
        </w:rPr>
        <w:t>，结合</w:t>
      </w:r>
      <w:r>
        <w:rPr>
          <w:rFonts w:hint="eastAsia" w:ascii="仿宋_GB2312" w:eastAsia="仿宋_GB2312" w:cs="宋体"/>
          <w:color w:val="auto"/>
          <w:kern w:val="0"/>
          <w:sz w:val="32"/>
          <w:szCs w:val="32"/>
          <w:highlight w:val="none"/>
          <w:lang w:eastAsia="zh-CN"/>
        </w:rPr>
        <w:t>我市</w:t>
      </w:r>
      <w:r>
        <w:rPr>
          <w:rFonts w:hint="eastAsia" w:ascii="仿宋_GB2312" w:hAnsi="仿宋" w:eastAsia="仿宋_GB2312" w:cs="宋体"/>
          <w:color w:val="auto"/>
          <w:kern w:val="0"/>
          <w:sz w:val="32"/>
          <w:szCs w:val="32"/>
        </w:rPr>
        <w:t>评审工作</w:t>
      </w:r>
      <w:r>
        <w:rPr>
          <w:rFonts w:hint="eastAsia" w:ascii="仿宋_GB2312" w:eastAsia="仿宋_GB2312" w:cs="宋体"/>
          <w:color w:val="auto"/>
          <w:kern w:val="0"/>
          <w:sz w:val="32"/>
          <w:szCs w:val="32"/>
          <w:highlight w:val="none"/>
        </w:rPr>
        <w:t>实际，制定本办法。</w:t>
      </w:r>
    </w:p>
    <w:p>
      <w:pPr>
        <w:keepNext w:val="0"/>
        <w:keepLines w:val="0"/>
        <w:pageBreakBefore w:val="0"/>
        <w:kinsoku/>
        <w:wordWrap/>
        <w:overflowPunct/>
        <w:topLinePunct w:val="0"/>
        <w:autoSpaceDE/>
        <w:autoSpaceDN/>
        <w:bidi w:val="0"/>
        <w:adjustRightInd w:val="0"/>
        <w:snapToGrid w:val="0"/>
        <w:spacing w:beforeLines="0" w:afterLines="0" w:line="0" w:lineRule="atLeast"/>
        <w:ind w:firstLine="636"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b w:val="0"/>
          <w:bCs/>
          <w:color w:val="auto"/>
          <w:kern w:val="0"/>
          <w:sz w:val="32"/>
          <w:szCs w:val="32"/>
          <w:highlight w:val="none"/>
          <w:lang w:eastAsia="zh-CN"/>
        </w:rPr>
        <w:t xml:space="preserve">第二条 </w:t>
      </w:r>
      <w:r>
        <w:rPr>
          <w:rFonts w:hint="default"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本办法</w:t>
      </w:r>
      <w:r>
        <w:rPr>
          <w:rFonts w:hint="eastAsia" w:ascii="仿宋_GB2312" w:hAnsi="仿宋_GB2312" w:eastAsia="仿宋_GB2312" w:cs="仿宋_GB2312"/>
          <w:color w:val="auto"/>
          <w:sz w:val="32"/>
          <w:szCs w:val="32"/>
          <w:highlight w:val="none"/>
          <w:lang w:eastAsia="zh-CN"/>
        </w:rPr>
        <w:t>适用于三明市财政局对其认可的，具有相应资格和评审经验，参与财政投资评审业务的社会咨询服务机构</w:t>
      </w:r>
      <w:r>
        <w:rPr>
          <w:rFonts w:hint="eastAsia" w:ascii="仿宋_GB2312" w:hAnsi="仿宋_GB2312" w:eastAsia="仿宋_GB2312" w:cs="仿宋_GB2312"/>
          <w:color w:val="auto"/>
          <w:sz w:val="32"/>
          <w:szCs w:val="32"/>
          <w:highlight w:val="none"/>
        </w:rPr>
        <w:t>（以下简称“</w:t>
      </w:r>
      <w:r>
        <w:rPr>
          <w:rFonts w:hint="eastAsia" w:ascii="仿宋_GB2312" w:hAnsi="仿宋_GB2312" w:eastAsia="仿宋_GB2312" w:cs="仿宋_GB2312"/>
          <w:color w:val="auto"/>
          <w:sz w:val="32"/>
          <w:szCs w:val="32"/>
          <w:highlight w:val="none"/>
          <w:lang w:eastAsia="zh-CN"/>
        </w:rPr>
        <w:t>中介机构</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的管理，包括</w:t>
      </w:r>
      <w:r>
        <w:rPr>
          <w:rFonts w:hint="eastAsia" w:ascii="仿宋_GB2312" w:hAnsi="仿宋_GB2312" w:eastAsia="仿宋_GB2312" w:cs="仿宋_GB2312"/>
          <w:color w:val="auto"/>
          <w:sz w:val="32"/>
          <w:szCs w:val="32"/>
          <w:highlight w:val="none"/>
        </w:rPr>
        <w:t>工程造价咨询公司、会计师事务所等</w:t>
      </w:r>
      <w:r>
        <w:rPr>
          <w:rFonts w:hint="eastAsia" w:ascii="仿宋_GB2312" w:hAnsi="仿宋_GB2312" w:eastAsia="仿宋_GB2312" w:cs="仿宋_GB2312"/>
          <w:color w:val="auto"/>
          <w:sz w:val="32"/>
          <w:szCs w:val="32"/>
          <w:highlight w:val="none"/>
          <w:lang w:eastAsia="zh-CN"/>
        </w:rPr>
        <w:t>组织</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adjustRightInd w:val="0"/>
        <w:snapToGrid w:val="0"/>
        <w:spacing w:beforeLines="0" w:afterLines="0" w:line="0" w:lineRule="atLeast"/>
        <w:ind w:firstLine="636"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b w:val="0"/>
          <w:bCs/>
          <w:color w:val="auto"/>
          <w:kern w:val="0"/>
          <w:sz w:val="32"/>
          <w:szCs w:val="32"/>
          <w:highlight w:val="none"/>
          <w:lang w:eastAsia="zh-CN"/>
        </w:rPr>
        <w:t>第三条</w:t>
      </w:r>
      <w:r>
        <w:rPr>
          <w:rFonts w:hint="eastAsia" w:ascii="仿宋_GB2312" w:hAnsi="仿宋_GB2312" w:eastAsia="仿宋_GB2312" w:cs="仿宋_GB2312"/>
          <w:color w:val="auto"/>
          <w:sz w:val="32"/>
          <w:szCs w:val="32"/>
          <w:highlight w:val="none"/>
        </w:rPr>
        <w:t xml:space="preserve"> </w:t>
      </w:r>
      <w:r>
        <w:rPr>
          <w:rFonts w:hint="default" w:ascii="仿宋_GB2312" w:hAnsi="仿宋_GB2312" w:eastAsia="仿宋_GB2312" w:cs="仿宋_GB2312"/>
          <w:color w:val="auto"/>
          <w:sz w:val="32"/>
          <w:szCs w:val="32"/>
          <w:highlight w:val="none"/>
          <w:lang w:val="en-US"/>
        </w:rPr>
        <w:t xml:space="preserve"> </w:t>
      </w:r>
      <w:r>
        <w:rPr>
          <w:rFonts w:hint="eastAsia" w:ascii="仿宋_GB2312" w:hAnsi="仿宋_GB2312" w:eastAsia="仿宋_GB2312" w:cs="仿宋_GB2312"/>
          <w:color w:val="auto"/>
          <w:sz w:val="32"/>
          <w:szCs w:val="32"/>
          <w:highlight w:val="none"/>
          <w:lang w:eastAsia="zh-CN"/>
        </w:rPr>
        <w:t>三明市财政投资评审中心（以下简称“评审中心”）具体负责对中介机构的业务考核管理。</w:t>
      </w:r>
    </w:p>
    <w:p>
      <w:pPr>
        <w:keepNext w:val="0"/>
        <w:keepLines w:val="0"/>
        <w:pageBreakBefore w:val="0"/>
        <w:kinsoku/>
        <w:wordWrap/>
        <w:overflowPunct/>
        <w:topLinePunct w:val="0"/>
        <w:autoSpaceDE/>
        <w:autoSpaceDN/>
        <w:bidi w:val="0"/>
        <w:adjustRightInd w:val="0"/>
        <w:snapToGrid w:val="0"/>
        <w:spacing w:before="313" w:beforeLines="100" w:after="313" w:afterLines="100" w:line="0" w:lineRule="atLeast"/>
        <w:ind w:firstLine="0" w:firstLineChars="0"/>
        <w:jc w:val="center"/>
        <w:textAlignment w:val="auto"/>
        <w:rPr>
          <w:rFonts w:hint="eastAsia" w:ascii="黑体" w:hAnsi="黑体" w:eastAsia="黑体"/>
          <w:b w:val="0"/>
          <w:bCs/>
          <w:color w:val="auto"/>
          <w:sz w:val="32"/>
          <w:highlight w:val="none"/>
          <w:lang w:eastAsia="zh-CN"/>
        </w:rPr>
      </w:pPr>
      <w:r>
        <w:rPr>
          <w:rFonts w:hint="eastAsia" w:ascii="黑体" w:hAnsi="黑体" w:eastAsia="黑体"/>
          <w:b w:val="0"/>
          <w:bCs/>
          <w:color w:val="auto"/>
          <w:sz w:val="32"/>
          <w:highlight w:val="none"/>
        </w:rPr>
        <w:t>第</w:t>
      </w:r>
      <w:r>
        <w:rPr>
          <w:rFonts w:hint="eastAsia" w:ascii="黑体" w:hAnsi="黑体" w:eastAsia="黑体"/>
          <w:b w:val="0"/>
          <w:bCs/>
          <w:color w:val="auto"/>
          <w:sz w:val="32"/>
          <w:highlight w:val="none"/>
          <w:lang w:val="en-US" w:eastAsia="zh-CN"/>
        </w:rPr>
        <w:t>二</w:t>
      </w:r>
      <w:r>
        <w:rPr>
          <w:rFonts w:hint="eastAsia" w:ascii="黑体" w:hAnsi="黑体" w:eastAsia="黑体"/>
          <w:b w:val="0"/>
          <w:bCs/>
          <w:color w:val="auto"/>
          <w:sz w:val="32"/>
          <w:highlight w:val="none"/>
        </w:rPr>
        <w:t xml:space="preserve">章 </w:t>
      </w:r>
      <w:r>
        <w:rPr>
          <w:rFonts w:hint="eastAsia" w:ascii="黑体" w:hAnsi="黑体" w:eastAsia="黑体"/>
          <w:b w:val="0"/>
          <w:bCs/>
          <w:color w:val="auto"/>
          <w:sz w:val="32"/>
          <w:highlight w:val="none"/>
          <w:lang w:eastAsia="zh-CN"/>
        </w:rPr>
        <w:t>中介机构的选取</w:t>
      </w:r>
    </w:p>
    <w:p>
      <w:pPr>
        <w:keepNext w:val="0"/>
        <w:keepLines w:val="0"/>
        <w:pageBreakBefore w:val="0"/>
        <w:kinsoku/>
        <w:wordWrap/>
        <w:overflowPunct/>
        <w:topLinePunct w:val="0"/>
        <w:autoSpaceDE/>
        <w:autoSpaceDN/>
        <w:bidi w:val="0"/>
        <w:adjustRightInd w:val="0"/>
        <w:snapToGrid w:val="0"/>
        <w:spacing w:beforeLines="0" w:afterLines="0" w:line="0" w:lineRule="atLeast"/>
        <w:ind w:firstLine="636"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b w:val="0"/>
          <w:bCs/>
          <w:color w:val="auto"/>
          <w:kern w:val="0"/>
          <w:sz w:val="32"/>
          <w:szCs w:val="32"/>
          <w:highlight w:val="none"/>
        </w:rPr>
        <w:t>第</w:t>
      </w:r>
      <w:r>
        <w:rPr>
          <w:rFonts w:hint="eastAsia" w:ascii="黑体" w:hAnsi="黑体" w:eastAsia="黑体" w:cs="黑体"/>
          <w:b w:val="0"/>
          <w:bCs/>
          <w:color w:val="auto"/>
          <w:kern w:val="0"/>
          <w:sz w:val="32"/>
          <w:szCs w:val="32"/>
          <w:highlight w:val="none"/>
          <w:lang w:eastAsia="zh-CN"/>
        </w:rPr>
        <w:t>四</w:t>
      </w:r>
      <w:r>
        <w:rPr>
          <w:rFonts w:hint="eastAsia" w:ascii="黑体" w:hAnsi="黑体" w:eastAsia="黑体" w:cs="黑体"/>
          <w:b w:val="0"/>
          <w:bCs/>
          <w:color w:val="auto"/>
          <w:kern w:val="0"/>
          <w:sz w:val="32"/>
          <w:szCs w:val="32"/>
          <w:highlight w:val="none"/>
        </w:rPr>
        <w:t>条</w:t>
      </w:r>
      <w:r>
        <w:rPr>
          <w:rFonts w:hint="eastAsia" w:ascii="仿宋_GB2312" w:hAnsi="仿宋_GB2312" w:eastAsia="仿宋_GB2312" w:cs="仿宋_GB2312"/>
          <w:b/>
          <w:color w:val="auto"/>
          <w:sz w:val="32"/>
          <w:szCs w:val="32"/>
          <w:highlight w:val="none"/>
        </w:rPr>
        <w:t xml:space="preserve"> </w:t>
      </w:r>
      <w:r>
        <w:rPr>
          <w:rFonts w:hint="default" w:ascii="仿宋_GB2312" w:hAnsi="仿宋_GB2312" w:eastAsia="仿宋_GB2312" w:cs="仿宋_GB2312"/>
          <w:b/>
          <w:color w:val="auto"/>
          <w:sz w:val="32"/>
          <w:szCs w:val="32"/>
          <w:highlight w:val="none"/>
          <w:lang w:val="en-US"/>
        </w:rPr>
        <w:t xml:space="preserve"> </w:t>
      </w:r>
      <w:r>
        <w:rPr>
          <w:rFonts w:hint="eastAsia" w:ascii="仿宋_GB2312" w:hAnsi="仿宋_GB2312" w:eastAsia="仿宋_GB2312" w:cs="仿宋_GB2312"/>
          <w:strike w:val="0"/>
          <w:color w:val="auto"/>
          <w:sz w:val="32"/>
          <w:szCs w:val="32"/>
          <w:highlight w:val="none"/>
          <w:lang w:eastAsia="zh-CN"/>
        </w:rPr>
        <w:t>中介机构的选取</w:t>
      </w:r>
      <w:r>
        <w:rPr>
          <w:rFonts w:hint="eastAsia" w:ascii="仿宋_GB2312" w:hAnsi="仿宋_GB2312" w:eastAsia="仿宋_GB2312" w:cs="仿宋_GB2312"/>
          <w:strike w:val="0"/>
          <w:color w:val="auto"/>
          <w:sz w:val="32"/>
          <w:szCs w:val="32"/>
          <w:highlight w:val="none"/>
        </w:rPr>
        <w:t>，由</w:t>
      </w:r>
      <w:r>
        <w:rPr>
          <w:rFonts w:hint="eastAsia" w:ascii="仿宋_GB2312" w:hAnsi="仿宋_GB2312" w:eastAsia="仿宋_GB2312" w:cs="仿宋_GB2312"/>
          <w:strike w:val="0"/>
          <w:color w:val="auto"/>
          <w:sz w:val="32"/>
          <w:szCs w:val="32"/>
          <w:highlight w:val="none"/>
          <w:lang w:eastAsia="zh-CN"/>
        </w:rPr>
        <w:t>三明市财政局</w:t>
      </w:r>
      <w:r>
        <w:rPr>
          <w:rFonts w:hint="eastAsia" w:ascii="仿宋_GB2312" w:hAnsi="仿宋_GB2312" w:eastAsia="仿宋_GB2312" w:cs="仿宋_GB2312"/>
          <w:color w:val="auto"/>
          <w:sz w:val="32"/>
          <w:szCs w:val="32"/>
          <w:highlight w:val="none"/>
        </w:rPr>
        <w:t>按照《中华人民共和国政府采购法》和财政</w:t>
      </w:r>
      <w:r>
        <w:rPr>
          <w:rFonts w:hint="eastAsia" w:ascii="仿宋_GB2312" w:hAnsi="仿宋_GB2312" w:eastAsia="仿宋_GB2312" w:cs="仿宋_GB2312"/>
          <w:color w:val="auto"/>
          <w:sz w:val="32"/>
          <w:szCs w:val="32"/>
          <w:highlight w:val="none"/>
          <w:lang w:eastAsia="zh-CN"/>
        </w:rPr>
        <w:t>部门</w:t>
      </w:r>
      <w:r>
        <w:rPr>
          <w:rFonts w:hint="eastAsia" w:ascii="仿宋_GB2312" w:hAnsi="仿宋_GB2312" w:eastAsia="仿宋_GB2312" w:cs="仿宋_GB2312"/>
          <w:color w:val="auto"/>
          <w:sz w:val="32"/>
          <w:szCs w:val="32"/>
          <w:highlight w:val="none"/>
        </w:rPr>
        <w:t>的有关规定，</w:t>
      </w:r>
      <w:r>
        <w:rPr>
          <w:rFonts w:hint="eastAsia" w:ascii="仿宋_GB2312" w:hAnsi="仿宋_GB2312" w:eastAsia="仿宋_GB2312" w:cs="仿宋_GB2312"/>
          <w:color w:val="auto"/>
          <w:sz w:val="32"/>
          <w:szCs w:val="32"/>
          <w:highlight w:val="none"/>
          <w:lang w:eastAsia="zh-CN"/>
        </w:rPr>
        <w:t>通过</w:t>
      </w:r>
      <w:r>
        <w:rPr>
          <w:rFonts w:hint="eastAsia" w:ascii="仿宋_GB2312" w:hAnsi="仿宋_GB2312" w:eastAsia="仿宋_GB2312" w:cs="仿宋_GB2312"/>
          <w:color w:val="auto"/>
          <w:sz w:val="32"/>
          <w:szCs w:val="32"/>
          <w:highlight w:val="none"/>
        </w:rPr>
        <w:t>公开</w:t>
      </w:r>
      <w:r>
        <w:rPr>
          <w:rFonts w:hint="eastAsia" w:ascii="仿宋_GB2312" w:hAnsi="仿宋_GB2312" w:eastAsia="仿宋_GB2312" w:cs="仿宋_GB2312"/>
          <w:color w:val="auto"/>
          <w:sz w:val="32"/>
          <w:szCs w:val="32"/>
          <w:highlight w:val="none"/>
          <w:lang w:eastAsia="zh-CN"/>
        </w:rPr>
        <w:t>程序</w:t>
      </w:r>
      <w:r>
        <w:rPr>
          <w:rFonts w:hint="eastAsia" w:ascii="仿宋_GB2312" w:hAnsi="仿宋_GB2312" w:eastAsia="仿宋_GB2312" w:cs="仿宋_GB2312"/>
          <w:strike w:val="0"/>
          <w:color w:val="auto"/>
          <w:sz w:val="32"/>
          <w:szCs w:val="32"/>
          <w:highlight w:val="none"/>
        </w:rPr>
        <w:t>确定。</w:t>
      </w:r>
      <w:r>
        <w:rPr>
          <w:rFonts w:hint="eastAsia" w:ascii="仿宋_GB2312" w:hAnsi="仿宋_GB2312" w:eastAsia="仿宋_GB2312" w:cs="仿宋_GB2312"/>
          <w:color w:val="auto"/>
          <w:sz w:val="32"/>
          <w:szCs w:val="32"/>
          <w:highlight w:val="none"/>
          <w:lang w:eastAsia="zh-CN"/>
        </w:rPr>
        <w:t>三明市财政局</w:t>
      </w:r>
      <w:r>
        <w:rPr>
          <w:rFonts w:hint="eastAsia" w:ascii="仿宋_GB2312" w:hAnsi="仿宋_GB2312" w:eastAsia="仿宋_GB2312" w:cs="仿宋_GB2312"/>
          <w:color w:val="auto"/>
          <w:sz w:val="32"/>
          <w:szCs w:val="32"/>
          <w:highlight w:val="none"/>
        </w:rPr>
        <w:t>与</w:t>
      </w:r>
      <w:r>
        <w:rPr>
          <w:rFonts w:hint="eastAsia" w:ascii="仿宋_GB2312" w:hAnsi="仿宋_GB2312" w:eastAsia="仿宋_GB2312" w:cs="仿宋_GB2312"/>
          <w:color w:val="auto"/>
          <w:sz w:val="32"/>
          <w:szCs w:val="32"/>
          <w:highlight w:val="none"/>
          <w:lang w:eastAsia="zh-CN"/>
        </w:rPr>
        <w:t>选定</w:t>
      </w:r>
      <w:r>
        <w:rPr>
          <w:rFonts w:hint="eastAsia" w:ascii="仿宋_GB2312" w:hAnsi="仿宋_GB2312" w:eastAsia="仿宋_GB2312" w:cs="仿宋_GB2312"/>
          <w:color w:val="auto"/>
          <w:sz w:val="32"/>
          <w:szCs w:val="32"/>
          <w:highlight w:val="none"/>
        </w:rPr>
        <w:t>的</w:t>
      </w:r>
      <w:r>
        <w:rPr>
          <w:rFonts w:hint="eastAsia" w:ascii="仿宋_GB2312" w:hAnsi="仿宋_GB2312" w:eastAsia="仿宋_GB2312" w:cs="仿宋_GB2312"/>
          <w:color w:val="auto"/>
          <w:sz w:val="32"/>
          <w:szCs w:val="32"/>
          <w:highlight w:val="none"/>
          <w:lang w:eastAsia="zh-CN"/>
        </w:rPr>
        <w:t>中介机构</w:t>
      </w:r>
      <w:r>
        <w:rPr>
          <w:rFonts w:hint="eastAsia" w:ascii="仿宋_GB2312" w:hAnsi="仿宋_GB2312" w:eastAsia="仿宋_GB2312" w:cs="仿宋_GB2312"/>
          <w:color w:val="auto"/>
          <w:sz w:val="32"/>
          <w:szCs w:val="32"/>
          <w:highlight w:val="none"/>
        </w:rPr>
        <w:t>订</w:t>
      </w:r>
      <w:r>
        <w:rPr>
          <w:rFonts w:hint="eastAsia" w:ascii="仿宋_GB2312" w:hAnsi="仿宋_GB2312" w:eastAsia="仿宋_GB2312" w:cs="仿宋_GB2312"/>
          <w:color w:val="auto"/>
          <w:sz w:val="32"/>
          <w:szCs w:val="32"/>
          <w:highlight w:val="none"/>
          <w:lang w:eastAsia="zh-CN"/>
        </w:rPr>
        <w:t>立具体评审项目的</w:t>
      </w:r>
      <w:r>
        <w:rPr>
          <w:rFonts w:hint="eastAsia" w:ascii="仿宋_GB2312" w:hAnsi="仿宋_GB2312" w:eastAsia="仿宋_GB2312" w:cs="仿宋_GB2312"/>
          <w:b w:val="0"/>
          <w:bCs w:val="0"/>
          <w:color w:val="auto"/>
          <w:kern w:val="2"/>
          <w:sz w:val="32"/>
          <w:szCs w:val="32"/>
          <w:highlight w:val="none"/>
          <w:lang w:eastAsia="zh-CN"/>
        </w:rPr>
        <w:t>《委托评审合同》。</w:t>
      </w:r>
    </w:p>
    <w:p>
      <w:pPr>
        <w:keepNext w:val="0"/>
        <w:keepLines w:val="0"/>
        <w:pageBreakBefore w:val="0"/>
        <w:kinsoku/>
        <w:wordWrap/>
        <w:overflowPunct/>
        <w:topLinePunct w:val="0"/>
        <w:autoSpaceDE/>
        <w:autoSpaceDN/>
        <w:bidi w:val="0"/>
        <w:adjustRightInd w:val="0"/>
        <w:snapToGrid w:val="0"/>
        <w:spacing w:beforeLines="0" w:afterLines="0" w:line="0" w:lineRule="atLeast"/>
        <w:ind w:firstLine="636"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b w:val="0"/>
          <w:bCs/>
          <w:color w:val="auto"/>
          <w:kern w:val="0"/>
          <w:sz w:val="32"/>
          <w:szCs w:val="32"/>
          <w:highlight w:val="none"/>
        </w:rPr>
        <w:t>第</w:t>
      </w:r>
      <w:r>
        <w:rPr>
          <w:rFonts w:hint="eastAsia" w:ascii="黑体" w:hAnsi="黑体" w:eastAsia="黑体" w:cs="黑体"/>
          <w:b w:val="0"/>
          <w:bCs/>
          <w:color w:val="auto"/>
          <w:kern w:val="0"/>
          <w:sz w:val="32"/>
          <w:szCs w:val="32"/>
          <w:highlight w:val="none"/>
          <w:lang w:eastAsia="zh-CN"/>
        </w:rPr>
        <w:t>五</w:t>
      </w:r>
      <w:r>
        <w:rPr>
          <w:rFonts w:hint="eastAsia" w:ascii="黑体" w:hAnsi="黑体" w:eastAsia="黑体" w:cs="黑体"/>
          <w:b w:val="0"/>
          <w:bCs/>
          <w:color w:val="auto"/>
          <w:kern w:val="0"/>
          <w:sz w:val="32"/>
          <w:szCs w:val="32"/>
          <w:highlight w:val="none"/>
        </w:rPr>
        <w:t>条</w:t>
      </w:r>
      <w:r>
        <w:rPr>
          <w:rFonts w:hint="eastAsia" w:ascii="仿宋_GB2312" w:hAnsi="仿宋_GB2312" w:eastAsia="仿宋_GB2312" w:cs="仿宋_GB2312"/>
          <w:b/>
          <w:color w:val="auto"/>
          <w:sz w:val="32"/>
          <w:szCs w:val="32"/>
          <w:highlight w:val="none"/>
        </w:rPr>
        <w:t xml:space="preserve"> </w:t>
      </w:r>
      <w:r>
        <w:rPr>
          <w:rFonts w:hint="default" w:ascii="仿宋_GB2312" w:hAnsi="仿宋_GB2312" w:eastAsia="仿宋_GB2312" w:cs="仿宋_GB2312"/>
          <w:b/>
          <w:color w:val="auto"/>
          <w:sz w:val="32"/>
          <w:szCs w:val="32"/>
          <w:highlight w:val="none"/>
          <w:lang w:val="en-US"/>
        </w:rPr>
        <w:t xml:space="preserve"> </w:t>
      </w:r>
      <w:r>
        <w:rPr>
          <w:rFonts w:hint="eastAsia" w:ascii="仿宋_GB2312" w:hAnsi="仿宋_GB2312" w:eastAsia="仿宋_GB2312" w:cs="仿宋_GB2312"/>
          <w:color w:val="auto"/>
          <w:sz w:val="32"/>
          <w:szCs w:val="32"/>
          <w:highlight w:val="none"/>
          <w:lang w:eastAsia="zh-CN"/>
        </w:rPr>
        <w:t>中介机构应当具备</w:t>
      </w:r>
      <w:r>
        <w:rPr>
          <w:rFonts w:hint="eastAsia" w:ascii="仿宋_GB2312" w:hAnsi="仿宋_GB2312" w:eastAsia="仿宋_GB2312" w:cs="仿宋_GB2312"/>
          <w:color w:val="auto"/>
          <w:sz w:val="32"/>
          <w:szCs w:val="32"/>
          <w:highlight w:val="none"/>
        </w:rPr>
        <w:t>的</w:t>
      </w:r>
      <w:r>
        <w:rPr>
          <w:rFonts w:hint="eastAsia" w:ascii="仿宋_GB2312" w:hAnsi="仿宋_GB2312" w:eastAsia="仿宋_GB2312" w:cs="仿宋_GB2312"/>
          <w:color w:val="auto"/>
          <w:sz w:val="32"/>
          <w:szCs w:val="32"/>
          <w:highlight w:val="none"/>
          <w:lang w:eastAsia="zh-CN"/>
        </w:rPr>
        <w:t>基本</w:t>
      </w:r>
      <w:r>
        <w:rPr>
          <w:rFonts w:hint="eastAsia" w:ascii="仿宋_GB2312" w:hAnsi="仿宋_GB2312" w:eastAsia="仿宋_GB2312" w:cs="仿宋_GB2312"/>
          <w:color w:val="auto"/>
          <w:sz w:val="32"/>
          <w:szCs w:val="32"/>
          <w:highlight w:val="none"/>
        </w:rPr>
        <w:t>条件：</w:t>
      </w:r>
    </w:p>
    <w:p>
      <w:pPr>
        <w:keepNext w:val="0"/>
        <w:keepLines w:val="0"/>
        <w:pageBreakBefore w:val="0"/>
        <w:kinsoku/>
        <w:wordWrap/>
        <w:overflowPunct/>
        <w:topLinePunct w:val="0"/>
        <w:autoSpaceDE/>
        <w:autoSpaceDN/>
        <w:bidi w:val="0"/>
        <w:adjustRightInd w:val="0"/>
        <w:snapToGrid w:val="0"/>
        <w:spacing w:beforeLines="0" w:afterLines="0" w:line="0" w:lineRule="atLeast"/>
        <w:ind w:firstLine="636"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w:t>
      </w:r>
      <w:r>
        <w:rPr>
          <w:rFonts w:hint="eastAsia" w:ascii="仿宋_GB2312" w:eastAsia="仿宋_GB2312"/>
          <w:color w:val="auto"/>
          <w:sz w:val="32"/>
          <w:szCs w:val="32"/>
          <w:highlight w:val="none"/>
        </w:rPr>
        <w:t>依法设立并具有</w:t>
      </w:r>
      <w:r>
        <w:rPr>
          <w:rFonts w:hint="eastAsia" w:ascii="仿宋_GB2312" w:eastAsia="仿宋_GB2312"/>
          <w:color w:val="auto"/>
          <w:sz w:val="32"/>
          <w:szCs w:val="32"/>
          <w:highlight w:val="none"/>
          <w:lang w:eastAsia="zh-CN"/>
        </w:rPr>
        <w:t>相应资格和评审经验</w:t>
      </w:r>
      <w:r>
        <w:rPr>
          <w:rFonts w:hint="eastAsia" w:ascii="仿宋_GB2312" w:eastAsia="仿宋_GB2312"/>
          <w:color w:val="auto"/>
          <w:sz w:val="32"/>
          <w:szCs w:val="32"/>
          <w:highlight w:val="none"/>
        </w:rPr>
        <w:t>的</w:t>
      </w:r>
      <w:r>
        <w:rPr>
          <w:rFonts w:hint="eastAsia" w:ascii="仿宋_GB2312" w:hAnsi="仿宋_GB2312" w:eastAsia="仿宋_GB2312" w:cs="仿宋_GB2312"/>
          <w:color w:val="auto"/>
          <w:sz w:val="32"/>
          <w:szCs w:val="32"/>
          <w:highlight w:val="none"/>
          <w:lang w:eastAsia="zh-CN"/>
        </w:rPr>
        <w:t>社会</w:t>
      </w:r>
      <w:r>
        <w:rPr>
          <w:rFonts w:hint="eastAsia" w:ascii="仿宋_GB2312" w:hAnsi="仿宋_GB2312" w:eastAsia="仿宋_GB2312" w:cs="仿宋_GB2312"/>
          <w:color w:val="auto"/>
          <w:sz w:val="32"/>
          <w:szCs w:val="32"/>
          <w:highlight w:val="none"/>
        </w:rPr>
        <w:t>咨询服务机构</w:t>
      </w:r>
      <w:r>
        <w:rPr>
          <w:rFonts w:hint="eastAsia" w:ascii="仿宋_GB2312" w:eastAsia="仿宋_GB2312"/>
          <w:color w:val="auto"/>
          <w:sz w:val="32"/>
          <w:szCs w:val="32"/>
          <w:highlight w:val="none"/>
          <w:lang w:eastAsia="zh-CN"/>
        </w:rPr>
        <w:t>，且</w:t>
      </w:r>
      <w:r>
        <w:rPr>
          <w:rFonts w:hint="eastAsia" w:ascii="仿宋_GB2312" w:hAnsi="仿宋_GB2312" w:eastAsia="仿宋_GB2312" w:cs="仿宋_GB2312"/>
          <w:color w:val="auto"/>
          <w:sz w:val="32"/>
          <w:szCs w:val="32"/>
          <w:highlight w:val="none"/>
        </w:rPr>
        <w:t>具有独立承担民事责任的能力；</w:t>
      </w:r>
    </w:p>
    <w:p>
      <w:pPr>
        <w:keepNext w:val="0"/>
        <w:keepLines w:val="0"/>
        <w:pageBreakBefore w:val="0"/>
        <w:kinsoku/>
        <w:wordWrap/>
        <w:overflowPunct/>
        <w:topLinePunct w:val="0"/>
        <w:autoSpaceDE/>
        <w:autoSpaceDN/>
        <w:bidi w:val="0"/>
        <w:adjustRightInd w:val="0"/>
        <w:snapToGrid w:val="0"/>
        <w:spacing w:beforeLines="0" w:afterLines="0" w:line="0" w:lineRule="atLeast"/>
        <w:ind w:firstLine="636"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（二）具有良好的商业信誉和</w:t>
      </w:r>
      <w:r>
        <w:rPr>
          <w:rFonts w:hint="eastAsia" w:ascii="仿宋_GB2312" w:hAnsi="仿宋_GB2312" w:eastAsia="仿宋_GB2312" w:cs="仿宋_GB2312"/>
          <w:color w:val="auto"/>
          <w:sz w:val="32"/>
          <w:szCs w:val="32"/>
          <w:highlight w:val="none"/>
          <w:lang w:eastAsia="zh-CN"/>
        </w:rPr>
        <w:t>健全的企业技术档案管理、质量控制、财务管理等内部管理制度</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adjustRightInd w:val="0"/>
        <w:snapToGrid w:val="0"/>
        <w:spacing w:beforeLines="0" w:afterLines="0" w:line="0" w:lineRule="atLeast"/>
        <w:ind w:firstLine="636"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（三）具有履行合同所必需的设备和专业技术能力</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有适应于评审要求的稳定专业团队</w:t>
      </w:r>
      <w:r>
        <w:rPr>
          <w:rFonts w:hint="eastAsia" w:ascii="仿宋_GB2312" w:hAnsi="仿宋_GB2312" w:eastAsia="仿宋_GB2312" w:cs="仿宋_GB2312"/>
          <w:color w:val="auto"/>
          <w:sz w:val="32"/>
          <w:szCs w:val="32"/>
          <w:highlight w:val="none"/>
          <w:lang w:eastAsia="zh-CN"/>
        </w:rPr>
        <w:t>和相关专业技术人员</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adjustRightInd w:val="0"/>
        <w:snapToGrid w:val="0"/>
        <w:spacing w:beforeLines="0" w:afterLines="0" w:line="0" w:lineRule="atLeast"/>
        <w:ind w:firstLine="636"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（四）有依法缴纳税收和社会保障资金的良好记录；</w:t>
      </w:r>
    </w:p>
    <w:p>
      <w:pPr>
        <w:keepNext w:val="0"/>
        <w:keepLines w:val="0"/>
        <w:pageBreakBefore w:val="0"/>
        <w:kinsoku/>
        <w:wordWrap/>
        <w:overflowPunct/>
        <w:topLinePunct w:val="0"/>
        <w:autoSpaceDE/>
        <w:autoSpaceDN/>
        <w:bidi w:val="0"/>
        <w:adjustRightInd w:val="0"/>
        <w:snapToGrid w:val="0"/>
        <w:spacing w:beforeLines="0" w:afterLines="0" w:line="0" w:lineRule="atLeast"/>
        <w:ind w:firstLine="636"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（五）近三年内没有违法、重大违规执业行为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在参与财政评审业务中没有违法违规记录；</w:t>
      </w:r>
    </w:p>
    <w:p>
      <w:pPr>
        <w:keepNext w:val="0"/>
        <w:keepLines w:val="0"/>
        <w:pageBreakBefore w:val="0"/>
        <w:kinsoku/>
        <w:wordWrap/>
        <w:overflowPunct/>
        <w:topLinePunct w:val="0"/>
        <w:autoSpaceDE/>
        <w:autoSpaceDN/>
        <w:bidi w:val="0"/>
        <w:adjustRightInd w:val="0"/>
        <w:snapToGrid w:val="0"/>
        <w:spacing w:beforeLines="0" w:afterLines="0" w:line="0" w:lineRule="atLeast"/>
        <w:ind w:firstLine="636"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（六）在开展受托评审业务中接受</w:t>
      </w:r>
      <w:r>
        <w:rPr>
          <w:rFonts w:hint="eastAsia" w:ascii="仿宋_GB2312" w:hAnsi="仿宋_GB2312" w:eastAsia="仿宋_GB2312" w:cs="仿宋_GB2312"/>
          <w:color w:val="auto"/>
          <w:sz w:val="32"/>
          <w:szCs w:val="32"/>
          <w:highlight w:val="none"/>
          <w:lang w:eastAsia="zh-CN"/>
        </w:rPr>
        <w:t>评审中心</w:t>
      </w:r>
      <w:r>
        <w:rPr>
          <w:rFonts w:hint="eastAsia" w:ascii="仿宋_GB2312" w:hAnsi="仿宋_GB2312" w:eastAsia="仿宋_GB2312" w:cs="仿宋_GB2312"/>
          <w:color w:val="auto"/>
          <w:sz w:val="32"/>
          <w:szCs w:val="32"/>
          <w:highlight w:val="none"/>
          <w:lang w:val="en-US" w:eastAsia="zh-CN"/>
        </w:rPr>
        <w:t>监督管理</w:t>
      </w:r>
      <w:r>
        <w:rPr>
          <w:rFonts w:hint="eastAsia" w:ascii="仿宋_GB2312" w:hAnsi="仿宋_GB2312" w:eastAsia="仿宋_GB2312" w:cs="仿宋_GB2312"/>
          <w:color w:val="auto"/>
          <w:sz w:val="32"/>
          <w:szCs w:val="32"/>
          <w:highlight w:val="none"/>
        </w:rPr>
        <w:t>并能承担相应责任</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autoSpaceDN/>
        <w:bidi w:val="0"/>
        <w:adjustRightInd w:val="0"/>
        <w:snapToGrid w:val="0"/>
        <w:spacing w:beforeLines="0" w:afterLines="0" w:line="0" w:lineRule="atLeast"/>
        <w:ind w:firstLine="636" w:firstLineChars="200"/>
        <w:textAlignment w:val="auto"/>
        <w:rPr>
          <w:rFonts w:hint="eastAsia" w:ascii="仿宋_GB2312" w:hAnsi="仿宋" w:eastAsia="仿宋_GB2312"/>
          <w:color w:val="auto"/>
          <w:sz w:val="32"/>
          <w:szCs w:val="32"/>
          <w:lang w:eastAsia="zh-CN"/>
        </w:rPr>
      </w:pPr>
      <w:r>
        <w:rPr>
          <w:rFonts w:hint="eastAsia" w:ascii="仿宋_GB2312" w:eastAsia="仿宋_GB2312"/>
          <w:color w:val="auto"/>
          <w:sz w:val="32"/>
          <w:szCs w:val="32"/>
          <w:highlight w:val="none"/>
          <w:lang w:eastAsia="zh-CN"/>
        </w:rPr>
        <w:t>（七）</w:t>
      </w:r>
      <w:r>
        <w:rPr>
          <w:rFonts w:hint="eastAsia" w:ascii="仿宋_GB2312" w:hAnsi="仿宋" w:eastAsia="仿宋_GB2312"/>
          <w:color w:val="auto"/>
          <w:sz w:val="32"/>
          <w:szCs w:val="32"/>
        </w:rPr>
        <w:t>在三明辖区有固定办公场所</w:t>
      </w:r>
      <w:r>
        <w:rPr>
          <w:rFonts w:hint="eastAsia" w:ascii="仿宋_GB2312" w:hAnsi="仿宋" w:eastAsia="仿宋_GB2312"/>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beforeLines="0" w:afterLines="0" w:line="0" w:lineRule="atLeast"/>
        <w:ind w:firstLine="636" w:firstLineChars="200"/>
        <w:textAlignment w:val="auto"/>
        <w:rPr>
          <w:rFonts w:hint="eastAsia" w:ascii="黑体" w:hAnsi="黑体" w:eastAsia="黑体" w:cs="黑体"/>
          <w:b w:val="0"/>
          <w:bCs/>
          <w:color w:val="auto"/>
          <w:kern w:val="0"/>
          <w:sz w:val="32"/>
          <w:szCs w:val="32"/>
          <w:highlight w:val="none"/>
        </w:rPr>
      </w:pPr>
      <w:r>
        <w:rPr>
          <w:rFonts w:hint="eastAsia" w:ascii="仿宋_GB2312" w:hAnsi="仿宋" w:eastAsia="仿宋_GB2312"/>
          <w:color w:val="auto"/>
          <w:sz w:val="32"/>
          <w:szCs w:val="32"/>
          <w:lang w:eastAsia="zh-CN"/>
        </w:rPr>
        <w:t>（八）</w:t>
      </w:r>
      <w:r>
        <w:rPr>
          <w:rFonts w:hint="eastAsia" w:ascii="仿宋_GB2312" w:eastAsia="仿宋_GB2312"/>
          <w:color w:val="auto"/>
          <w:sz w:val="32"/>
          <w:szCs w:val="32"/>
          <w:highlight w:val="none"/>
        </w:rPr>
        <w:t>政府采购</w:t>
      </w:r>
      <w:r>
        <w:rPr>
          <w:rFonts w:hint="eastAsia" w:ascii="仿宋_GB2312" w:eastAsia="仿宋_GB2312"/>
          <w:color w:val="auto"/>
          <w:sz w:val="32"/>
          <w:szCs w:val="32"/>
          <w:highlight w:val="none"/>
          <w:lang w:eastAsia="zh-CN"/>
        </w:rPr>
        <w:t>等法律法规</w:t>
      </w:r>
      <w:r>
        <w:rPr>
          <w:rFonts w:hint="eastAsia" w:ascii="仿宋_GB2312" w:eastAsia="仿宋_GB2312"/>
          <w:color w:val="auto"/>
          <w:sz w:val="32"/>
          <w:szCs w:val="32"/>
          <w:highlight w:val="none"/>
        </w:rPr>
        <w:t>要求的相关条件</w:t>
      </w:r>
      <w:r>
        <w:rPr>
          <w:rFonts w:hint="eastAsia" w:ascii="仿宋_GB2312" w:eastAsia="仿宋_GB2312"/>
          <w:color w:val="auto"/>
          <w:sz w:val="32"/>
          <w:szCs w:val="32"/>
          <w:highlight w:val="none"/>
          <w:lang w:eastAsia="zh-CN"/>
        </w:rPr>
        <w:t>。</w:t>
      </w:r>
    </w:p>
    <w:p>
      <w:pPr>
        <w:keepNext w:val="0"/>
        <w:keepLines w:val="0"/>
        <w:pageBreakBefore w:val="0"/>
        <w:kinsoku/>
        <w:wordWrap/>
        <w:overflowPunct/>
        <w:topLinePunct w:val="0"/>
        <w:autoSpaceDE/>
        <w:autoSpaceDN/>
        <w:bidi w:val="0"/>
        <w:adjustRightInd w:val="0"/>
        <w:snapToGrid w:val="0"/>
        <w:spacing w:beforeLines="0" w:afterLines="0" w:line="0" w:lineRule="atLeast"/>
        <w:ind w:firstLine="636" w:firstLineChars="200"/>
        <w:textAlignment w:val="auto"/>
        <w:rPr>
          <w:rFonts w:hint="eastAsia" w:ascii="仿宋_GB2312" w:eastAsia="仿宋_GB2312" w:cs="宋体"/>
          <w:color w:val="auto"/>
          <w:kern w:val="0"/>
          <w:sz w:val="32"/>
          <w:szCs w:val="32"/>
          <w:highlight w:val="none"/>
        </w:rPr>
      </w:pPr>
      <w:r>
        <w:rPr>
          <w:rFonts w:hint="eastAsia" w:ascii="黑体" w:hAnsi="黑体" w:eastAsia="黑体" w:cs="黑体"/>
          <w:b w:val="0"/>
          <w:bCs/>
          <w:color w:val="auto"/>
          <w:kern w:val="0"/>
          <w:sz w:val="32"/>
          <w:szCs w:val="32"/>
          <w:highlight w:val="none"/>
        </w:rPr>
        <w:t>第</w:t>
      </w:r>
      <w:r>
        <w:rPr>
          <w:rFonts w:hint="eastAsia" w:ascii="黑体" w:hAnsi="黑体" w:eastAsia="黑体" w:cs="黑体"/>
          <w:b w:val="0"/>
          <w:bCs/>
          <w:color w:val="auto"/>
          <w:kern w:val="0"/>
          <w:sz w:val="32"/>
          <w:szCs w:val="32"/>
          <w:highlight w:val="none"/>
          <w:lang w:eastAsia="zh-CN"/>
        </w:rPr>
        <w:t>六</w:t>
      </w:r>
      <w:r>
        <w:rPr>
          <w:rFonts w:hint="eastAsia" w:ascii="黑体" w:hAnsi="黑体" w:eastAsia="黑体" w:cs="黑体"/>
          <w:b w:val="0"/>
          <w:bCs/>
          <w:color w:val="auto"/>
          <w:kern w:val="0"/>
          <w:sz w:val="32"/>
          <w:szCs w:val="32"/>
          <w:highlight w:val="none"/>
        </w:rPr>
        <w:t>条</w:t>
      </w:r>
      <w:r>
        <w:rPr>
          <w:rFonts w:hint="eastAsia" w:ascii="仿宋_GB2312" w:eastAsia="仿宋_GB2312" w:cs="宋体"/>
          <w:b/>
          <w:color w:val="auto"/>
          <w:kern w:val="0"/>
          <w:sz w:val="32"/>
          <w:szCs w:val="32"/>
          <w:highlight w:val="none"/>
        </w:rPr>
        <w:t xml:space="preserve">  </w:t>
      </w:r>
      <w:r>
        <w:rPr>
          <w:rFonts w:hint="eastAsia" w:ascii="仿宋_GB2312" w:eastAsia="仿宋_GB2312" w:cs="宋体"/>
          <w:color w:val="auto"/>
          <w:kern w:val="0"/>
          <w:sz w:val="32"/>
          <w:szCs w:val="32"/>
          <w:highlight w:val="none"/>
          <w:lang w:eastAsia="zh-CN"/>
        </w:rPr>
        <w:t>中介机构应当配备相应的专业技术人员，根据评审项目的专业特点和实际情况</w:t>
      </w:r>
      <w:r>
        <w:rPr>
          <w:rFonts w:hint="eastAsia" w:ascii="仿宋_GB2312" w:eastAsia="仿宋_GB2312" w:cs="宋体"/>
          <w:color w:val="auto"/>
          <w:kern w:val="0"/>
          <w:sz w:val="32"/>
          <w:szCs w:val="32"/>
          <w:highlight w:val="none"/>
        </w:rPr>
        <w:t>选派</w:t>
      </w:r>
      <w:r>
        <w:rPr>
          <w:rFonts w:hint="eastAsia" w:ascii="仿宋_GB2312" w:hAnsi="仿宋_GB2312" w:eastAsia="仿宋_GB2312" w:cs="仿宋_GB2312"/>
          <w:color w:val="auto"/>
          <w:sz w:val="32"/>
          <w:szCs w:val="32"/>
          <w:highlight w:val="none"/>
          <w:lang w:eastAsia="zh-CN"/>
        </w:rPr>
        <w:t>专业评审</w:t>
      </w:r>
      <w:r>
        <w:rPr>
          <w:rFonts w:hint="eastAsia" w:ascii="仿宋_GB2312" w:eastAsia="仿宋_GB2312" w:cs="宋体"/>
          <w:color w:val="auto"/>
          <w:kern w:val="0"/>
          <w:sz w:val="32"/>
          <w:szCs w:val="32"/>
          <w:highlight w:val="none"/>
        </w:rPr>
        <w:t>人员</w:t>
      </w:r>
      <w:r>
        <w:rPr>
          <w:rFonts w:hint="eastAsia" w:ascii="仿宋_GB2312" w:eastAsia="仿宋_GB2312" w:cs="宋体"/>
          <w:color w:val="auto"/>
          <w:kern w:val="0"/>
          <w:sz w:val="32"/>
          <w:szCs w:val="32"/>
          <w:highlight w:val="none"/>
          <w:lang w:eastAsia="zh-CN"/>
        </w:rPr>
        <w:t>组成项目评审组，项目评审组应配置评审组负责人、审核人员、稽复核人员或技术负责人。选派的专业评审人员</w:t>
      </w:r>
      <w:r>
        <w:rPr>
          <w:rFonts w:hint="eastAsia" w:ascii="仿宋_GB2312" w:eastAsia="仿宋_GB2312" w:cs="宋体"/>
          <w:color w:val="auto"/>
          <w:kern w:val="0"/>
          <w:sz w:val="32"/>
          <w:szCs w:val="32"/>
          <w:highlight w:val="none"/>
        </w:rPr>
        <w:t>应符合下列条件：</w:t>
      </w:r>
    </w:p>
    <w:p>
      <w:pPr>
        <w:keepNext w:val="0"/>
        <w:keepLines w:val="0"/>
        <w:pageBreakBefore w:val="0"/>
        <w:kinsoku/>
        <w:wordWrap/>
        <w:overflowPunct/>
        <w:topLinePunct w:val="0"/>
        <w:autoSpaceDE/>
        <w:autoSpaceDN/>
        <w:bidi w:val="0"/>
        <w:adjustRightInd w:val="0"/>
        <w:snapToGrid w:val="0"/>
        <w:spacing w:beforeLines="0" w:afterLines="0" w:line="0" w:lineRule="atLeast"/>
        <w:ind w:firstLine="636"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（一）担任工程</w:t>
      </w:r>
      <w:r>
        <w:rPr>
          <w:rFonts w:hint="eastAsia" w:ascii="仿宋_GB2312" w:eastAsia="仿宋_GB2312"/>
          <w:color w:val="auto"/>
          <w:sz w:val="32"/>
          <w:szCs w:val="32"/>
          <w:highlight w:val="none"/>
          <w:lang w:eastAsia="zh-CN"/>
        </w:rPr>
        <w:t>造价咨询</w:t>
      </w:r>
      <w:r>
        <w:rPr>
          <w:rFonts w:hint="eastAsia" w:ascii="仿宋_GB2312" w:eastAsia="仿宋_GB2312"/>
          <w:color w:val="auto"/>
          <w:sz w:val="32"/>
          <w:szCs w:val="32"/>
          <w:highlight w:val="none"/>
        </w:rPr>
        <w:t>的</w:t>
      </w:r>
      <w:r>
        <w:rPr>
          <w:rFonts w:hint="eastAsia" w:ascii="仿宋_GB2312" w:eastAsia="仿宋_GB2312"/>
          <w:color w:val="auto"/>
          <w:sz w:val="32"/>
          <w:szCs w:val="32"/>
          <w:highlight w:val="none"/>
          <w:lang w:eastAsia="zh-CN"/>
        </w:rPr>
        <w:t>评审组</w:t>
      </w:r>
      <w:r>
        <w:rPr>
          <w:rFonts w:hint="eastAsia" w:ascii="仿宋_GB2312" w:eastAsia="仿宋_GB2312"/>
          <w:color w:val="auto"/>
          <w:sz w:val="32"/>
          <w:szCs w:val="32"/>
          <w:highlight w:val="none"/>
        </w:rPr>
        <w:t>负责人必须</w:t>
      </w:r>
      <w:r>
        <w:rPr>
          <w:rFonts w:hint="eastAsia" w:ascii="仿宋_GB2312" w:eastAsia="仿宋_GB2312"/>
          <w:color w:val="auto"/>
          <w:sz w:val="32"/>
          <w:szCs w:val="32"/>
          <w:highlight w:val="none"/>
          <w:lang w:eastAsia="zh-CN"/>
        </w:rPr>
        <w:t>具有</w:t>
      </w:r>
      <w:r>
        <w:rPr>
          <w:rFonts w:hint="eastAsia" w:ascii="仿宋_GB2312" w:eastAsia="仿宋_GB2312"/>
          <w:color w:val="auto"/>
          <w:sz w:val="32"/>
          <w:szCs w:val="32"/>
          <w:highlight w:val="none"/>
        </w:rPr>
        <w:t>注册造价师（一级）</w:t>
      </w:r>
      <w:r>
        <w:rPr>
          <w:rFonts w:hint="eastAsia" w:ascii="仿宋_GB2312" w:eastAsia="仿宋_GB2312"/>
          <w:color w:val="auto"/>
          <w:sz w:val="32"/>
          <w:szCs w:val="32"/>
          <w:highlight w:val="none"/>
          <w:lang w:eastAsia="zh-CN"/>
        </w:rPr>
        <w:t>执业资格</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相应专业的审核人员</w:t>
      </w:r>
      <w:r>
        <w:rPr>
          <w:rFonts w:hint="eastAsia" w:ascii="仿宋_GB2312" w:eastAsia="仿宋_GB2312"/>
          <w:color w:val="auto"/>
          <w:sz w:val="32"/>
          <w:szCs w:val="32"/>
          <w:highlight w:val="none"/>
        </w:rPr>
        <w:t>应至少各</w:t>
      </w:r>
      <w:r>
        <w:rPr>
          <w:rFonts w:hint="eastAsia" w:ascii="仿宋_GB2312" w:eastAsia="仿宋_GB2312"/>
          <w:color w:val="auto"/>
          <w:sz w:val="32"/>
          <w:szCs w:val="32"/>
          <w:highlight w:val="none"/>
          <w:lang w:eastAsia="zh-CN"/>
        </w:rPr>
        <w:t>有</w:t>
      </w:r>
      <w:r>
        <w:rPr>
          <w:rFonts w:hint="eastAsia" w:ascii="仿宋_GB2312" w:eastAsia="仿宋_GB2312"/>
          <w:color w:val="auto"/>
          <w:sz w:val="32"/>
          <w:szCs w:val="32"/>
          <w:highlight w:val="none"/>
        </w:rPr>
        <w:t>一名具</w:t>
      </w:r>
      <w:r>
        <w:rPr>
          <w:rFonts w:hint="eastAsia" w:ascii="仿宋_GB2312" w:eastAsia="仿宋_GB2312"/>
          <w:color w:val="auto"/>
          <w:sz w:val="32"/>
          <w:szCs w:val="32"/>
          <w:highlight w:val="none"/>
          <w:lang w:eastAsia="zh-CN"/>
        </w:rPr>
        <w:t>有</w:t>
      </w:r>
      <w:r>
        <w:rPr>
          <w:rFonts w:hint="eastAsia" w:ascii="仿宋_GB2312" w:eastAsia="仿宋_GB2312"/>
          <w:color w:val="auto"/>
          <w:sz w:val="32"/>
          <w:szCs w:val="32"/>
          <w:highlight w:val="none"/>
        </w:rPr>
        <w:t>执业资格</w:t>
      </w:r>
      <w:r>
        <w:rPr>
          <w:rFonts w:hint="eastAsia" w:ascii="仿宋_GB2312" w:eastAsia="仿宋_GB2312"/>
          <w:color w:val="auto"/>
          <w:sz w:val="32"/>
          <w:szCs w:val="32"/>
          <w:highlight w:val="none"/>
          <w:lang w:eastAsia="zh-CN"/>
        </w:rPr>
        <w:t>的</w:t>
      </w:r>
      <w:r>
        <w:rPr>
          <w:rFonts w:hint="eastAsia" w:ascii="仿宋_GB2312" w:eastAsia="仿宋_GB2312"/>
          <w:color w:val="auto"/>
          <w:sz w:val="32"/>
          <w:szCs w:val="32"/>
          <w:highlight w:val="none"/>
        </w:rPr>
        <w:t>注册造价师（一级）</w:t>
      </w:r>
      <w:r>
        <w:rPr>
          <w:rFonts w:hint="eastAsia" w:ascii="仿宋_GB2312" w:eastAsia="仿宋_GB2312"/>
          <w:color w:val="auto"/>
          <w:sz w:val="32"/>
          <w:szCs w:val="32"/>
          <w:highlight w:val="none"/>
          <w:lang w:eastAsia="zh-CN"/>
        </w:rPr>
        <w:t>或同等资格证书的造价人员，稽复核人员或技术负责人必须具有注册造价师（一级）执业资格或具有相应专业中级及以上职称，其他辅助评审人员</w:t>
      </w:r>
      <w:r>
        <w:rPr>
          <w:rFonts w:hint="eastAsia" w:ascii="仿宋_GB2312" w:eastAsia="仿宋_GB2312"/>
          <w:color w:val="auto"/>
          <w:sz w:val="32"/>
          <w:szCs w:val="32"/>
          <w:highlight w:val="none"/>
        </w:rPr>
        <w:t>按照</w:t>
      </w:r>
      <w:r>
        <w:rPr>
          <w:rFonts w:hint="eastAsia" w:ascii="仿宋_GB2312" w:eastAsia="仿宋_GB2312"/>
          <w:color w:val="auto"/>
          <w:sz w:val="32"/>
          <w:szCs w:val="32"/>
          <w:highlight w:val="none"/>
          <w:lang w:eastAsia="zh-CN"/>
        </w:rPr>
        <w:t>省级</w:t>
      </w:r>
      <w:r>
        <w:rPr>
          <w:rFonts w:hint="eastAsia" w:ascii="仿宋_GB2312" w:eastAsia="仿宋_GB2312"/>
          <w:color w:val="auto"/>
          <w:sz w:val="32"/>
          <w:szCs w:val="32"/>
          <w:highlight w:val="none"/>
        </w:rPr>
        <w:t>及以上建设行政主管部门有关</w:t>
      </w:r>
      <w:r>
        <w:rPr>
          <w:rFonts w:hint="eastAsia" w:ascii="仿宋_GB2312" w:eastAsia="仿宋_GB2312"/>
          <w:color w:val="auto"/>
          <w:sz w:val="32"/>
          <w:szCs w:val="32"/>
          <w:highlight w:val="none"/>
          <w:lang w:eastAsia="zh-CN"/>
        </w:rPr>
        <w:t>从</w:t>
      </w:r>
      <w:r>
        <w:rPr>
          <w:rFonts w:hint="eastAsia" w:ascii="仿宋_GB2312" w:eastAsia="仿宋_GB2312"/>
          <w:color w:val="auto"/>
          <w:sz w:val="32"/>
          <w:szCs w:val="32"/>
          <w:highlight w:val="none"/>
        </w:rPr>
        <w:t>业资格的规定执行；</w:t>
      </w:r>
    </w:p>
    <w:p>
      <w:pPr>
        <w:keepNext w:val="0"/>
        <w:keepLines w:val="0"/>
        <w:pageBreakBefore w:val="0"/>
        <w:kinsoku/>
        <w:wordWrap/>
        <w:overflowPunct/>
        <w:topLinePunct w:val="0"/>
        <w:autoSpaceDE/>
        <w:autoSpaceDN/>
        <w:bidi w:val="0"/>
        <w:adjustRightInd w:val="0"/>
        <w:snapToGrid w:val="0"/>
        <w:spacing w:beforeLines="0" w:afterLines="0" w:line="0" w:lineRule="atLeast"/>
        <w:ind w:firstLine="636"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担任财务专业</w:t>
      </w:r>
      <w:r>
        <w:rPr>
          <w:rFonts w:hint="eastAsia" w:ascii="仿宋_GB2312" w:eastAsia="仿宋_GB2312"/>
          <w:color w:val="auto"/>
          <w:sz w:val="32"/>
          <w:szCs w:val="32"/>
          <w:highlight w:val="none"/>
          <w:lang w:eastAsia="zh-CN"/>
        </w:rPr>
        <w:t>评</w:t>
      </w:r>
      <w:r>
        <w:rPr>
          <w:rFonts w:hint="eastAsia" w:ascii="仿宋_GB2312" w:eastAsia="仿宋_GB2312"/>
          <w:color w:val="auto"/>
          <w:sz w:val="32"/>
          <w:szCs w:val="32"/>
          <w:highlight w:val="none"/>
        </w:rPr>
        <w:t>审的</w:t>
      </w:r>
      <w:r>
        <w:rPr>
          <w:rFonts w:hint="eastAsia" w:ascii="仿宋_GB2312" w:eastAsia="仿宋_GB2312"/>
          <w:color w:val="auto"/>
          <w:sz w:val="32"/>
          <w:szCs w:val="32"/>
          <w:highlight w:val="none"/>
          <w:lang w:eastAsia="zh-CN"/>
        </w:rPr>
        <w:t>评审组</w:t>
      </w:r>
      <w:r>
        <w:rPr>
          <w:rFonts w:hint="eastAsia" w:ascii="仿宋_GB2312" w:eastAsia="仿宋_GB2312"/>
          <w:color w:val="auto"/>
          <w:sz w:val="32"/>
          <w:szCs w:val="32"/>
          <w:highlight w:val="none"/>
        </w:rPr>
        <w:t>负责人必须具有注册会计师执业资格，</w:t>
      </w:r>
      <w:r>
        <w:rPr>
          <w:rFonts w:hint="eastAsia" w:ascii="仿宋_GB2312" w:eastAsia="仿宋_GB2312"/>
          <w:color w:val="auto"/>
          <w:sz w:val="32"/>
          <w:szCs w:val="32"/>
          <w:highlight w:val="none"/>
          <w:lang w:eastAsia="zh-CN"/>
        </w:rPr>
        <w:t>主要评审</w:t>
      </w:r>
      <w:r>
        <w:rPr>
          <w:rFonts w:hint="eastAsia" w:ascii="仿宋_GB2312" w:eastAsia="仿宋_GB2312"/>
          <w:color w:val="auto"/>
          <w:sz w:val="32"/>
          <w:szCs w:val="32"/>
          <w:highlight w:val="none"/>
        </w:rPr>
        <w:t>人员应具有注册会计师执业资格</w:t>
      </w:r>
      <w:r>
        <w:rPr>
          <w:rFonts w:hint="eastAsia" w:ascii="仿宋_GB2312" w:eastAsia="仿宋_GB2312"/>
          <w:color w:val="auto"/>
          <w:sz w:val="32"/>
          <w:szCs w:val="32"/>
          <w:highlight w:val="none"/>
          <w:lang w:eastAsia="zh-CN"/>
        </w:rPr>
        <w:t>或会计师</w:t>
      </w:r>
      <w:r>
        <w:rPr>
          <w:rFonts w:hint="eastAsia" w:ascii="仿宋_GB2312" w:eastAsia="仿宋_GB2312"/>
          <w:color w:val="auto"/>
          <w:sz w:val="32"/>
          <w:szCs w:val="32"/>
          <w:highlight w:val="none"/>
        </w:rPr>
        <w:t>中级及以上职称，其他</w:t>
      </w:r>
      <w:r>
        <w:rPr>
          <w:rFonts w:hint="eastAsia" w:ascii="仿宋_GB2312" w:eastAsia="仿宋_GB2312"/>
          <w:color w:val="auto"/>
          <w:sz w:val="32"/>
          <w:szCs w:val="32"/>
          <w:highlight w:val="none"/>
          <w:lang w:eastAsia="zh-CN"/>
        </w:rPr>
        <w:t>辅助评</w:t>
      </w:r>
      <w:r>
        <w:rPr>
          <w:rFonts w:hint="eastAsia" w:ascii="仿宋_GB2312" w:eastAsia="仿宋_GB2312"/>
          <w:color w:val="auto"/>
          <w:sz w:val="32"/>
          <w:szCs w:val="32"/>
          <w:highlight w:val="none"/>
        </w:rPr>
        <w:t>审人员按照</w:t>
      </w:r>
      <w:r>
        <w:rPr>
          <w:rFonts w:hint="eastAsia" w:ascii="仿宋_GB2312" w:eastAsia="仿宋_GB2312"/>
          <w:color w:val="auto"/>
          <w:sz w:val="32"/>
          <w:szCs w:val="32"/>
          <w:highlight w:val="none"/>
          <w:lang w:eastAsia="zh-CN"/>
        </w:rPr>
        <w:t>省级</w:t>
      </w:r>
      <w:r>
        <w:rPr>
          <w:rFonts w:hint="eastAsia" w:ascii="仿宋_GB2312" w:eastAsia="仿宋_GB2312"/>
          <w:color w:val="auto"/>
          <w:sz w:val="32"/>
          <w:szCs w:val="32"/>
          <w:highlight w:val="none"/>
        </w:rPr>
        <w:t>及以上财政部门有关</w:t>
      </w:r>
      <w:r>
        <w:rPr>
          <w:rFonts w:hint="eastAsia" w:ascii="仿宋_GB2312" w:eastAsia="仿宋_GB2312"/>
          <w:color w:val="auto"/>
          <w:sz w:val="32"/>
          <w:szCs w:val="32"/>
          <w:highlight w:val="none"/>
          <w:lang w:eastAsia="zh-CN"/>
        </w:rPr>
        <w:t>从</w:t>
      </w:r>
      <w:r>
        <w:rPr>
          <w:rFonts w:hint="eastAsia" w:ascii="仿宋_GB2312" w:eastAsia="仿宋_GB2312"/>
          <w:color w:val="auto"/>
          <w:sz w:val="32"/>
          <w:szCs w:val="32"/>
          <w:highlight w:val="none"/>
        </w:rPr>
        <w:t>业资格的规定执行；</w:t>
      </w:r>
    </w:p>
    <w:p>
      <w:pPr>
        <w:keepNext w:val="0"/>
        <w:keepLines w:val="0"/>
        <w:pageBreakBefore w:val="0"/>
        <w:kinsoku/>
        <w:wordWrap/>
        <w:overflowPunct/>
        <w:topLinePunct w:val="0"/>
        <w:autoSpaceDE/>
        <w:autoSpaceDN/>
        <w:bidi w:val="0"/>
        <w:adjustRightInd w:val="0"/>
        <w:snapToGrid w:val="0"/>
        <w:spacing w:beforeLines="0" w:afterLines="0" w:line="0" w:lineRule="atLeast"/>
        <w:ind w:firstLine="636"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二</w:t>
      </w:r>
      <w:r>
        <w:rPr>
          <w:rFonts w:hint="eastAsia" w:ascii="仿宋_GB2312" w:eastAsia="仿宋_GB2312"/>
          <w:color w:val="auto"/>
          <w:sz w:val="32"/>
          <w:szCs w:val="32"/>
          <w:highlight w:val="none"/>
        </w:rPr>
        <w:t>）从事</w:t>
      </w:r>
      <w:r>
        <w:rPr>
          <w:rFonts w:hint="eastAsia" w:ascii="仿宋_GB2312" w:eastAsia="仿宋_GB2312"/>
          <w:color w:val="auto"/>
          <w:sz w:val="32"/>
          <w:szCs w:val="32"/>
          <w:highlight w:val="none"/>
          <w:lang w:eastAsia="zh-CN"/>
        </w:rPr>
        <w:t>造价咨询或会计工作三</w:t>
      </w:r>
      <w:r>
        <w:rPr>
          <w:rFonts w:hint="eastAsia" w:ascii="仿宋_GB2312" w:eastAsia="仿宋_GB2312"/>
          <w:color w:val="auto"/>
          <w:sz w:val="32"/>
          <w:szCs w:val="32"/>
          <w:highlight w:val="none"/>
        </w:rPr>
        <w:t>年及以上；</w:t>
      </w:r>
    </w:p>
    <w:p>
      <w:pPr>
        <w:keepNext w:val="0"/>
        <w:keepLines w:val="0"/>
        <w:pageBreakBefore w:val="0"/>
        <w:kinsoku/>
        <w:wordWrap/>
        <w:overflowPunct/>
        <w:topLinePunct w:val="0"/>
        <w:autoSpaceDE/>
        <w:autoSpaceDN/>
        <w:bidi w:val="0"/>
        <w:adjustRightInd w:val="0"/>
        <w:snapToGrid w:val="0"/>
        <w:spacing w:beforeLines="0" w:afterLines="0" w:line="0" w:lineRule="atLeast"/>
        <w:ind w:firstLine="636"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（三）职业道德良好，无因业务活动受过刑事处罚</w:t>
      </w:r>
      <w:r>
        <w:rPr>
          <w:rFonts w:hint="eastAsia" w:ascii="仿宋_GB2312" w:eastAsia="仿宋_GB2312"/>
          <w:color w:val="auto"/>
          <w:sz w:val="32"/>
          <w:szCs w:val="32"/>
          <w:highlight w:val="none"/>
          <w:lang w:eastAsia="zh-CN"/>
        </w:rPr>
        <w:t>和</w:t>
      </w:r>
      <w:r>
        <w:rPr>
          <w:rFonts w:hint="eastAsia" w:ascii="仿宋_GB2312" w:eastAsia="仿宋_GB2312"/>
          <w:color w:val="auto"/>
          <w:sz w:val="32"/>
          <w:szCs w:val="32"/>
          <w:highlight w:val="none"/>
        </w:rPr>
        <w:t>行政处分；</w:t>
      </w:r>
    </w:p>
    <w:p>
      <w:pPr>
        <w:keepNext w:val="0"/>
        <w:keepLines w:val="0"/>
        <w:pageBreakBefore w:val="0"/>
        <w:kinsoku/>
        <w:wordWrap/>
        <w:overflowPunct/>
        <w:topLinePunct w:val="0"/>
        <w:autoSpaceDE/>
        <w:autoSpaceDN/>
        <w:bidi w:val="0"/>
        <w:adjustRightInd w:val="0"/>
        <w:snapToGrid w:val="0"/>
        <w:spacing w:beforeLines="0" w:afterLines="0" w:line="0" w:lineRule="atLeast"/>
        <w:ind w:firstLine="636"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（四）能够在规定时限内独立完成受托任务并接受</w:t>
      </w:r>
      <w:r>
        <w:rPr>
          <w:rFonts w:hint="eastAsia" w:ascii="仿宋_GB2312" w:eastAsia="仿宋_GB2312"/>
          <w:color w:val="auto"/>
          <w:sz w:val="32"/>
          <w:szCs w:val="32"/>
          <w:highlight w:val="none"/>
          <w:lang w:eastAsia="zh-CN"/>
        </w:rPr>
        <w:t>评审中心</w:t>
      </w:r>
      <w:r>
        <w:rPr>
          <w:rFonts w:hint="eastAsia" w:ascii="仿宋_GB2312" w:eastAsia="仿宋_GB2312"/>
          <w:color w:val="auto"/>
          <w:sz w:val="32"/>
          <w:szCs w:val="32"/>
          <w:highlight w:val="none"/>
        </w:rPr>
        <w:t>监督</w:t>
      </w:r>
      <w:r>
        <w:rPr>
          <w:rFonts w:hint="eastAsia" w:ascii="仿宋_GB2312" w:eastAsia="仿宋_GB2312"/>
          <w:color w:val="auto"/>
          <w:sz w:val="32"/>
          <w:szCs w:val="32"/>
          <w:highlight w:val="none"/>
          <w:lang w:eastAsia="zh-CN"/>
        </w:rPr>
        <w:t>管理</w:t>
      </w:r>
      <w:r>
        <w:rPr>
          <w:rFonts w:hint="eastAsia" w:ascii="仿宋_GB2312" w:eastAsia="仿宋_GB2312"/>
          <w:color w:val="auto"/>
          <w:sz w:val="32"/>
          <w:szCs w:val="32"/>
          <w:highlight w:val="none"/>
        </w:rPr>
        <w:t>。</w:t>
      </w:r>
    </w:p>
    <w:p>
      <w:pPr>
        <w:keepNext w:val="0"/>
        <w:keepLines w:val="0"/>
        <w:pageBreakBefore w:val="0"/>
        <w:kinsoku/>
        <w:wordWrap/>
        <w:overflowPunct/>
        <w:topLinePunct w:val="0"/>
        <w:autoSpaceDE/>
        <w:autoSpaceDN/>
        <w:bidi w:val="0"/>
        <w:adjustRightInd w:val="0"/>
        <w:snapToGrid w:val="0"/>
        <w:spacing w:beforeLines="0" w:afterLines="0" w:line="0" w:lineRule="atLeast"/>
        <w:ind w:firstLine="636"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（五）未被列为失信人员等其它情形的。</w:t>
      </w:r>
    </w:p>
    <w:p>
      <w:pPr>
        <w:keepNext w:val="0"/>
        <w:keepLines w:val="0"/>
        <w:pageBreakBefore w:val="0"/>
        <w:kinsoku/>
        <w:wordWrap/>
        <w:overflowPunct/>
        <w:topLinePunct w:val="0"/>
        <w:autoSpaceDE/>
        <w:autoSpaceDN/>
        <w:bidi w:val="0"/>
        <w:adjustRightInd w:val="0"/>
        <w:snapToGrid w:val="0"/>
        <w:spacing w:beforeLines="0" w:afterLines="0" w:line="0" w:lineRule="atLeast"/>
        <w:ind w:firstLine="636" w:firstLineChars="200"/>
        <w:textAlignment w:val="auto"/>
        <w:rPr>
          <w:rFonts w:hint="eastAsia" w:ascii="仿宋_GB2312" w:eastAsia="仿宋_GB2312"/>
          <w:color w:val="auto"/>
          <w:sz w:val="32"/>
          <w:szCs w:val="32"/>
          <w:highlight w:val="none"/>
        </w:rPr>
      </w:pPr>
      <w:r>
        <w:rPr>
          <w:rFonts w:hint="eastAsia" w:ascii="黑体" w:hAnsi="黑体" w:eastAsia="黑体" w:cs="黑体"/>
          <w:b w:val="0"/>
          <w:bCs/>
          <w:color w:val="auto"/>
          <w:kern w:val="0"/>
          <w:sz w:val="32"/>
          <w:szCs w:val="32"/>
          <w:highlight w:val="none"/>
        </w:rPr>
        <w:t>第</w:t>
      </w:r>
      <w:r>
        <w:rPr>
          <w:rFonts w:hint="eastAsia" w:ascii="黑体" w:hAnsi="黑体" w:eastAsia="黑体" w:cs="黑体"/>
          <w:b w:val="0"/>
          <w:bCs/>
          <w:color w:val="auto"/>
          <w:kern w:val="0"/>
          <w:sz w:val="32"/>
          <w:szCs w:val="32"/>
          <w:highlight w:val="none"/>
          <w:lang w:eastAsia="zh-CN"/>
        </w:rPr>
        <w:t>七</w:t>
      </w:r>
      <w:r>
        <w:rPr>
          <w:rFonts w:hint="eastAsia" w:ascii="黑体" w:hAnsi="黑体" w:eastAsia="黑体" w:cs="黑体"/>
          <w:b w:val="0"/>
          <w:bCs/>
          <w:color w:val="auto"/>
          <w:kern w:val="0"/>
          <w:sz w:val="32"/>
          <w:szCs w:val="32"/>
          <w:highlight w:val="none"/>
        </w:rPr>
        <w:t>条</w:t>
      </w:r>
      <w:r>
        <w:rPr>
          <w:rFonts w:hint="eastAsia" w:ascii="仿宋_GB2312" w:eastAsia="仿宋_GB2312" w:cs="宋体"/>
          <w:b/>
          <w:color w:val="auto"/>
          <w:kern w:val="0"/>
          <w:sz w:val="32"/>
          <w:szCs w:val="32"/>
          <w:highlight w:val="none"/>
        </w:rPr>
        <w:t xml:space="preserve">  </w:t>
      </w:r>
      <w:r>
        <w:rPr>
          <w:rFonts w:hint="eastAsia" w:ascii="仿宋_GB2312" w:eastAsia="仿宋_GB2312"/>
          <w:color w:val="auto"/>
          <w:sz w:val="32"/>
          <w:szCs w:val="32"/>
          <w:highlight w:val="none"/>
        </w:rPr>
        <w:t>参与评审的</w:t>
      </w:r>
      <w:r>
        <w:rPr>
          <w:rFonts w:hint="eastAsia" w:ascii="仿宋_GB2312" w:eastAsia="仿宋_GB2312"/>
          <w:color w:val="auto"/>
          <w:sz w:val="32"/>
          <w:szCs w:val="32"/>
          <w:highlight w:val="none"/>
          <w:lang w:eastAsia="zh-CN"/>
        </w:rPr>
        <w:t>中介机构</w:t>
      </w:r>
      <w:r>
        <w:rPr>
          <w:rFonts w:hint="eastAsia" w:ascii="仿宋_GB2312" w:eastAsia="仿宋_GB2312"/>
          <w:color w:val="auto"/>
          <w:sz w:val="32"/>
          <w:szCs w:val="32"/>
          <w:highlight w:val="none"/>
        </w:rPr>
        <w:t>及其相关工作人员与被评审项目单位或者评审事项存在</w:t>
      </w:r>
      <w:r>
        <w:rPr>
          <w:rFonts w:hint="eastAsia" w:ascii="仿宋_GB2312" w:eastAsia="仿宋_GB2312"/>
          <w:color w:val="auto"/>
          <w:sz w:val="32"/>
          <w:szCs w:val="32"/>
          <w:highlight w:val="none"/>
          <w:lang w:eastAsia="zh-CN"/>
        </w:rPr>
        <w:t>以下</w:t>
      </w:r>
      <w:r>
        <w:rPr>
          <w:rFonts w:hint="eastAsia" w:ascii="仿宋_GB2312" w:eastAsia="仿宋_GB2312"/>
          <w:color w:val="auto"/>
          <w:sz w:val="32"/>
          <w:szCs w:val="32"/>
          <w:highlight w:val="none"/>
        </w:rPr>
        <w:t>关联关系的</w:t>
      </w:r>
      <w:r>
        <w:rPr>
          <w:rFonts w:hint="eastAsia" w:ascii="仿宋_GB2312" w:eastAsia="仿宋_GB2312"/>
          <w:color w:val="auto"/>
          <w:sz w:val="32"/>
          <w:szCs w:val="32"/>
          <w:highlight w:val="none"/>
          <w:lang w:eastAsia="zh-CN"/>
        </w:rPr>
        <w:t>（包括但不仅限于）</w:t>
      </w:r>
      <w:r>
        <w:rPr>
          <w:rFonts w:hint="eastAsia" w:ascii="仿宋_GB2312" w:eastAsia="仿宋_GB2312"/>
          <w:color w:val="auto"/>
          <w:sz w:val="32"/>
          <w:szCs w:val="32"/>
          <w:highlight w:val="none"/>
        </w:rPr>
        <w:t>，或曾经受</w:t>
      </w:r>
      <w:r>
        <w:rPr>
          <w:rFonts w:hint="eastAsia" w:ascii="仿宋_GB2312" w:eastAsia="仿宋_GB2312"/>
          <w:color w:val="auto"/>
          <w:sz w:val="32"/>
          <w:szCs w:val="32"/>
          <w:highlight w:val="none"/>
          <w:lang w:eastAsia="zh-CN"/>
        </w:rPr>
        <w:t>其他</w:t>
      </w:r>
      <w:r>
        <w:rPr>
          <w:rFonts w:hint="eastAsia" w:ascii="仿宋_GB2312" w:eastAsia="仿宋_GB2312"/>
          <w:color w:val="auto"/>
          <w:sz w:val="32"/>
          <w:szCs w:val="32"/>
          <w:highlight w:val="none"/>
        </w:rPr>
        <w:t>部门委托参与</w:t>
      </w:r>
      <w:r>
        <w:rPr>
          <w:rFonts w:hint="eastAsia" w:ascii="仿宋_GB2312" w:eastAsia="仿宋_GB2312"/>
          <w:color w:val="auto"/>
          <w:sz w:val="32"/>
          <w:szCs w:val="32"/>
          <w:highlight w:val="none"/>
          <w:lang w:eastAsia="zh-CN"/>
        </w:rPr>
        <w:t>被</w:t>
      </w:r>
      <w:r>
        <w:rPr>
          <w:rFonts w:hint="eastAsia" w:ascii="仿宋_GB2312" w:eastAsia="仿宋_GB2312"/>
          <w:color w:val="auto"/>
          <w:sz w:val="32"/>
          <w:szCs w:val="32"/>
          <w:highlight w:val="none"/>
        </w:rPr>
        <w:t>评审项目</w:t>
      </w:r>
      <w:r>
        <w:rPr>
          <w:rFonts w:hint="eastAsia" w:ascii="仿宋_GB2312" w:eastAsia="仿宋_GB2312"/>
          <w:color w:val="auto"/>
          <w:sz w:val="32"/>
          <w:szCs w:val="32"/>
          <w:highlight w:val="none"/>
          <w:lang w:eastAsia="zh-CN"/>
        </w:rPr>
        <w:t>相关事宜</w:t>
      </w:r>
      <w:r>
        <w:rPr>
          <w:rFonts w:hint="eastAsia" w:ascii="仿宋_GB2312" w:eastAsia="仿宋_GB2312"/>
          <w:color w:val="auto"/>
          <w:sz w:val="32"/>
          <w:szCs w:val="32"/>
          <w:highlight w:val="none"/>
        </w:rPr>
        <w:t>的，应主动申请回避：</w:t>
      </w:r>
    </w:p>
    <w:p>
      <w:pPr>
        <w:keepNext w:val="0"/>
        <w:keepLines w:val="0"/>
        <w:pageBreakBefore w:val="0"/>
        <w:kinsoku/>
        <w:wordWrap/>
        <w:overflowPunct/>
        <w:topLinePunct w:val="0"/>
        <w:autoSpaceDE/>
        <w:autoSpaceDN/>
        <w:bidi w:val="0"/>
        <w:adjustRightInd w:val="0"/>
        <w:snapToGrid w:val="0"/>
        <w:spacing w:beforeLines="0" w:afterLines="0" w:line="0" w:lineRule="atLeast"/>
        <w:ind w:firstLine="636" w:firstLineChars="200"/>
        <w:textAlignment w:val="auto"/>
        <w:rPr>
          <w:rFonts w:hint="eastAsia" w:ascii="仿宋_GB2312" w:eastAsia="仿宋_GB2312" w:cs="宋体"/>
          <w:color w:val="auto"/>
          <w:kern w:val="0"/>
          <w:sz w:val="32"/>
          <w:szCs w:val="32"/>
          <w:highlight w:val="none"/>
        </w:rPr>
      </w:pPr>
      <w:r>
        <w:rPr>
          <w:rFonts w:hint="eastAsia" w:ascii="仿宋_GB2312" w:eastAsia="仿宋_GB2312" w:cs="宋体"/>
          <w:color w:val="auto"/>
          <w:kern w:val="0"/>
          <w:sz w:val="32"/>
          <w:szCs w:val="32"/>
          <w:highlight w:val="none"/>
        </w:rPr>
        <w:t>（一）参与被评审项目代建、</w:t>
      </w:r>
      <w:r>
        <w:rPr>
          <w:rFonts w:hint="eastAsia" w:ascii="仿宋_GB2312" w:eastAsia="仿宋_GB2312" w:cs="宋体"/>
          <w:color w:val="auto"/>
          <w:kern w:val="0"/>
          <w:sz w:val="32"/>
          <w:szCs w:val="32"/>
          <w:highlight w:val="none"/>
          <w:lang w:eastAsia="zh-CN"/>
        </w:rPr>
        <w:t>全过程咨询、</w:t>
      </w:r>
      <w:r>
        <w:rPr>
          <w:rFonts w:hint="eastAsia" w:ascii="仿宋_GB2312" w:eastAsia="仿宋_GB2312" w:cs="宋体"/>
          <w:color w:val="auto"/>
          <w:kern w:val="0"/>
          <w:sz w:val="32"/>
          <w:szCs w:val="32"/>
          <w:highlight w:val="none"/>
        </w:rPr>
        <w:t>招标代理、编制预算或招标控制价、</w:t>
      </w:r>
      <w:r>
        <w:rPr>
          <w:rFonts w:hint="eastAsia" w:ascii="仿宋_GB2312" w:eastAsia="仿宋_GB2312" w:cs="宋体"/>
          <w:color w:val="auto"/>
          <w:kern w:val="0"/>
          <w:sz w:val="32"/>
          <w:szCs w:val="32"/>
          <w:highlight w:val="none"/>
          <w:lang w:eastAsia="zh-CN"/>
        </w:rPr>
        <w:t>设计、</w:t>
      </w:r>
      <w:r>
        <w:rPr>
          <w:rFonts w:hint="eastAsia" w:ascii="仿宋_GB2312" w:eastAsia="仿宋_GB2312" w:cs="宋体"/>
          <w:color w:val="auto"/>
          <w:kern w:val="0"/>
          <w:sz w:val="32"/>
          <w:szCs w:val="32"/>
          <w:highlight w:val="none"/>
        </w:rPr>
        <w:t>监理、编制决（结）算等相关活动的；</w:t>
      </w:r>
    </w:p>
    <w:p>
      <w:pPr>
        <w:keepNext w:val="0"/>
        <w:keepLines w:val="0"/>
        <w:pageBreakBefore w:val="0"/>
        <w:kinsoku/>
        <w:wordWrap/>
        <w:overflowPunct/>
        <w:topLinePunct w:val="0"/>
        <w:autoSpaceDE/>
        <w:autoSpaceDN/>
        <w:bidi w:val="0"/>
        <w:adjustRightInd w:val="0"/>
        <w:snapToGrid w:val="0"/>
        <w:spacing w:beforeLines="0" w:afterLines="0" w:line="0" w:lineRule="atLeast"/>
        <w:ind w:firstLine="636" w:firstLineChars="200"/>
        <w:textAlignment w:val="auto"/>
        <w:rPr>
          <w:rFonts w:hint="eastAsia" w:ascii="仿宋_GB2312" w:eastAsia="仿宋_GB2312" w:cs="宋体"/>
          <w:color w:val="auto"/>
          <w:kern w:val="0"/>
          <w:sz w:val="32"/>
          <w:szCs w:val="32"/>
          <w:highlight w:val="none"/>
        </w:rPr>
      </w:pPr>
      <w:r>
        <w:rPr>
          <w:rFonts w:hint="eastAsia" w:ascii="仿宋_GB2312" w:eastAsia="仿宋_GB2312" w:cs="宋体"/>
          <w:color w:val="auto"/>
          <w:kern w:val="0"/>
          <w:sz w:val="32"/>
          <w:szCs w:val="32"/>
          <w:highlight w:val="none"/>
        </w:rPr>
        <w:t>（二）选派的评审人员曾在被评审项目单位任职且离职未满三年的；</w:t>
      </w:r>
    </w:p>
    <w:p>
      <w:pPr>
        <w:keepNext w:val="0"/>
        <w:keepLines w:val="0"/>
        <w:pageBreakBefore w:val="0"/>
        <w:kinsoku/>
        <w:wordWrap/>
        <w:overflowPunct/>
        <w:topLinePunct w:val="0"/>
        <w:autoSpaceDE/>
        <w:autoSpaceDN/>
        <w:bidi w:val="0"/>
        <w:adjustRightInd w:val="0"/>
        <w:snapToGrid w:val="0"/>
        <w:spacing w:beforeLines="0" w:afterLines="0" w:line="0" w:lineRule="atLeast"/>
        <w:ind w:firstLine="636" w:firstLineChars="200"/>
        <w:textAlignment w:val="auto"/>
        <w:rPr>
          <w:rFonts w:hint="eastAsia" w:ascii="仿宋_GB2312" w:eastAsia="仿宋_GB2312" w:cs="宋体"/>
          <w:color w:val="auto"/>
          <w:kern w:val="0"/>
          <w:sz w:val="32"/>
          <w:szCs w:val="32"/>
          <w:highlight w:val="none"/>
        </w:rPr>
      </w:pPr>
      <w:r>
        <w:rPr>
          <w:rFonts w:hint="eastAsia" w:ascii="仿宋_GB2312" w:eastAsia="仿宋_GB2312" w:cs="宋体"/>
          <w:color w:val="auto"/>
          <w:kern w:val="0"/>
          <w:sz w:val="32"/>
          <w:szCs w:val="32"/>
          <w:highlight w:val="none"/>
        </w:rPr>
        <w:t>（三）选派的评审人员担任被评审单位常年基建、会计顾问或代为办理基建、会计事项的；</w:t>
      </w:r>
    </w:p>
    <w:p>
      <w:pPr>
        <w:keepNext w:val="0"/>
        <w:keepLines w:val="0"/>
        <w:pageBreakBefore w:val="0"/>
        <w:widowControl/>
        <w:kinsoku/>
        <w:wordWrap/>
        <w:overflowPunct/>
        <w:topLinePunct w:val="0"/>
        <w:autoSpaceDE/>
        <w:autoSpaceDN/>
        <w:bidi w:val="0"/>
        <w:adjustRightInd w:val="0"/>
        <w:snapToGrid w:val="0"/>
        <w:spacing w:beforeLines="0" w:afterLines="0" w:line="0" w:lineRule="atLeast"/>
        <w:ind w:firstLine="636" w:firstLineChars="200"/>
        <w:textAlignment w:val="auto"/>
        <w:rPr>
          <w:rFonts w:hint="eastAsia" w:ascii="仿宋_GB2312" w:eastAsia="仿宋_GB2312" w:cs="宋体"/>
          <w:color w:val="auto"/>
          <w:kern w:val="0"/>
          <w:sz w:val="32"/>
          <w:szCs w:val="32"/>
          <w:highlight w:val="none"/>
          <w:lang w:eastAsia="zh-CN"/>
        </w:rPr>
      </w:pPr>
      <w:r>
        <w:rPr>
          <w:rFonts w:hint="eastAsia" w:ascii="仿宋_GB2312" w:eastAsia="仿宋_GB2312" w:cs="宋体"/>
          <w:color w:val="auto"/>
          <w:kern w:val="0"/>
          <w:sz w:val="32"/>
          <w:szCs w:val="32"/>
          <w:highlight w:val="none"/>
        </w:rPr>
        <w:t>（四）与被评审单位</w:t>
      </w:r>
      <w:r>
        <w:rPr>
          <w:rFonts w:hint="eastAsia" w:ascii="仿宋_GB2312" w:eastAsia="仿宋_GB2312" w:cs="宋体"/>
          <w:color w:val="auto"/>
          <w:kern w:val="0"/>
          <w:sz w:val="32"/>
          <w:szCs w:val="32"/>
          <w:highlight w:val="none"/>
          <w:lang w:eastAsia="zh-CN"/>
        </w:rPr>
        <w:t>或项目</w:t>
      </w:r>
      <w:r>
        <w:rPr>
          <w:rFonts w:hint="eastAsia" w:ascii="仿宋_GB2312" w:eastAsia="仿宋_GB2312" w:cs="宋体"/>
          <w:color w:val="auto"/>
          <w:kern w:val="0"/>
          <w:sz w:val="32"/>
          <w:szCs w:val="32"/>
          <w:highlight w:val="none"/>
        </w:rPr>
        <w:t>有直接利益关系的</w:t>
      </w:r>
      <w:r>
        <w:rPr>
          <w:rFonts w:hint="eastAsia" w:ascii="仿宋_GB2312" w:eastAsia="仿宋_GB2312" w:cs="宋体"/>
          <w:color w:val="auto"/>
          <w:kern w:val="0"/>
          <w:sz w:val="32"/>
          <w:szCs w:val="32"/>
          <w:highlight w:val="none"/>
          <w:lang w:eastAsia="zh-CN"/>
        </w:rPr>
        <w:t>；</w:t>
      </w:r>
    </w:p>
    <w:p>
      <w:pPr>
        <w:keepNext w:val="0"/>
        <w:keepLines w:val="0"/>
        <w:pageBreakBefore w:val="0"/>
        <w:widowControl/>
        <w:kinsoku/>
        <w:wordWrap/>
        <w:overflowPunct/>
        <w:topLinePunct w:val="0"/>
        <w:autoSpaceDE/>
        <w:autoSpaceDN/>
        <w:bidi w:val="0"/>
        <w:adjustRightInd w:val="0"/>
        <w:snapToGrid w:val="0"/>
        <w:spacing w:beforeLines="0" w:afterLines="0" w:line="0" w:lineRule="atLeast"/>
        <w:ind w:firstLine="636" w:firstLineChars="200"/>
        <w:textAlignment w:val="auto"/>
        <w:rPr>
          <w:rFonts w:hint="eastAsia" w:ascii="仿宋_GB2312" w:eastAsia="仿宋_GB2312" w:cs="宋体"/>
          <w:color w:val="auto"/>
          <w:kern w:val="0"/>
          <w:sz w:val="32"/>
          <w:szCs w:val="32"/>
          <w:highlight w:val="none"/>
          <w:lang w:val="en-US" w:eastAsia="zh-CN"/>
        </w:rPr>
      </w:pPr>
      <w:r>
        <w:rPr>
          <w:rFonts w:hint="eastAsia" w:ascii="仿宋_GB2312" w:eastAsia="仿宋_GB2312" w:cs="宋体"/>
          <w:color w:val="auto"/>
          <w:kern w:val="0"/>
          <w:sz w:val="32"/>
          <w:szCs w:val="32"/>
          <w:highlight w:val="none"/>
          <w:lang w:eastAsia="zh-CN"/>
        </w:rPr>
        <w:t>（</w:t>
      </w:r>
      <w:r>
        <w:rPr>
          <w:rFonts w:hint="eastAsia" w:ascii="仿宋_GB2312" w:eastAsia="仿宋_GB2312" w:cs="宋体"/>
          <w:color w:val="auto"/>
          <w:kern w:val="0"/>
          <w:sz w:val="32"/>
          <w:szCs w:val="32"/>
          <w:highlight w:val="none"/>
          <w:lang w:val="en-US" w:eastAsia="zh-CN"/>
        </w:rPr>
        <w:t>五）</w:t>
      </w:r>
      <w:r>
        <w:rPr>
          <w:rFonts w:hint="eastAsia" w:ascii="仿宋_GB2312" w:eastAsia="仿宋_GB2312" w:cs="宋体"/>
          <w:color w:val="auto"/>
          <w:kern w:val="0"/>
          <w:sz w:val="32"/>
          <w:szCs w:val="32"/>
          <w:highlight w:val="none"/>
        </w:rPr>
        <w:t>其他应回避的事项</w:t>
      </w:r>
      <w:r>
        <w:rPr>
          <w:rFonts w:hint="eastAsia" w:ascii="仿宋_GB2312" w:eastAsia="仿宋_GB2312" w:cs="宋体"/>
          <w:color w:val="auto"/>
          <w:kern w:val="0"/>
          <w:sz w:val="32"/>
          <w:szCs w:val="32"/>
          <w:highlight w:val="none"/>
          <w:lang w:eastAsia="zh-CN"/>
        </w:rPr>
        <w:t>。</w:t>
      </w:r>
    </w:p>
    <w:p>
      <w:pPr>
        <w:keepNext w:val="0"/>
        <w:keepLines w:val="0"/>
        <w:pageBreakBefore w:val="0"/>
        <w:widowControl/>
        <w:kinsoku/>
        <w:wordWrap/>
        <w:overflowPunct/>
        <w:topLinePunct w:val="0"/>
        <w:autoSpaceDE/>
        <w:autoSpaceDN/>
        <w:bidi w:val="0"/>
        <w:adjustRightInd w:val="0"/>
        <w:snapToGrid w:val="0"/>
        <w:spacing w:before="0" w:beforeLines="0" w:after="0" w:afterLines="0" w:line="0" w:lineRule="atLeast"/>
        <w:ind w:firstLine="636" w:firstLineChars="200"/>
        <w:jc w:val="left"/>
        <w:textAlignment w:val="auto"/>
        <w:rPr>
          <w:rFonts w:hint="eastAsia" w:ascii="仿宋_GB2312" w:hAnsi="仿宋_GB2312" w:eastAsia="仿宋_GB2312" w:cs="仿宋_GB2312"/>
          <w:color w:val="auto"/>
          <w:sz w:val="32"/>
          <w:szCs w:val="32"/>
          <w:highlight w:val="none"/>
          <w:lang w:eastAsia="zh-CN"/>
        </w:rPr>
      </w:pPr>
    </w:p>
    <w:p>
      <w:pPr>
        <w:keepNext w:val="0"/>
        <w:keepLines w:val="0"/>
        <w:pageBreakBefore w:val="0"/>
        <w:widowControl/>
        <w:kinsoku/>
        <w:wordWrap/>
        <w:overflowPunct/>
        <w:topLinePunct w:val="0"/>
        <w:autoSpaceDE/>
        <w:autoSpaceDN/>
        <w:bidi w:val="0"/>
        <w:adjustRightInd w:val="0"/>
        <w:snapToGrid w:val="0"/>
        <w:spacing w:before="313" w:beforeLines="100" w:after="313" w:afterLines="100" w:line="0" w:lineRule="atLeast"/>
        <w:ind w:firstLine="0" w:firstLineChars="0"/>
        <w:jc w:val="center"/>
        <w:textAlignment w:val="auto"/>
        <w:rPr>
          <w:rFonts w:hint="eastAsia" w:ascii="黑体" w:hAnsi="黑体" w:eastAsia="黑体"/>
          <w:b w:val="0"/>
          <w:bCs/>
          <w:color w:val="auto"/>
          <w:sz w:val="32"/>
          <w:highlight w:val="none"/>
        </w:rPr>
      </w:pPr>
      <w:r>
        <w:rPr>
          <w:rFonts w:hint="eastAsia" w:ascii="黑体" w:hAnsi="黑体" w:eastAsia="黑体"/>
          <w:b w:val="0"/>
          <w:bCs/>
          <w:color w:val="auto"/>
          <w:sz w:val="32"/>
          <w:highlight w:val="none"/>
        </w:rPr>
        <w:t>第</w:t>
      </w:r>
      <w:r>
        <w:rPr>
          <w:rFonts w:hint="eastAsia" w:ascii="黑体" w:hAnsi="黑体" w:eastAsia="黑体"/>
          <w:b w:val="0"/>
          <w:bCs/>
          <w:color w:val="auto"/>
          <w:sz w:val="32"/>
          <w:highlight w:val="none"/>
          <w:lang w:eastAsia="zh-CN"/>
        </w:rPr>
        <w:t>三</w:t>
      </w:r>
      <w:r>
        <w:rPr>
          <w:rFonts w:hint="eastAsia" w:ascii="黑体" w:hAnsi="黑体" w:eastAsia="黑体"/>
          <w:b w:val="0"/>
          <w:bCs/>
          <w:color w:val="auto"/>
          <w:sz w:val="32"/>
          <w:highlight w:val="none"/>
        </w:rPr>
        <w:t xml:space="preserve">章 </w:t>
      </w:r>
      <w:r>
        <w:rPr>
          <w:rFonts w:hint="eastAsia" w:ascii="黑体" w:hAnsi="黑体" w:eastAsia="黑体"/>
          <w:b w:val="0"/>
          <w:bCs/>
          <w:color w:val="auto"/>
          <w:sz w:val="32"/>
          <w:highlight w:val="none"/>
          <w:lang w:eastAsia="zh-CN"/>
        </w:rPr>
        <w:t>委托评审程序</w:t>
      </w:r>
    </w:p>
    <w:p>
      <w:pPr>
        <w:keepNext w:val="0"/>
        <w:keepLines w:val="0"/>
        <w:pageBreakBefore w:val="0"/>
        <w:kinsoku/>
        <w:wordWrap/>
        <w:overflowPunct/>
        <w:topLinePunct w:val="0"/>
        <w:autoSpaceDE/>
        <w:autoSpaceDN/>
        <w:bidi w:val="0"/>
        <w:adjustRightInd w:val="0"/>
        <w:snapToGrid w:val="0"/>
        <w:spacing w:beforeLines="0" w:afterLines="0" w:line="0" w:lineRule="atLeast"/>
        <w:ind w:firstLine="636" w:firstLineChars="200"/>
        <w:textAlignment w:val="auto"/>
        <w:rPr>
          <w:rFonts w:hint="eastAsia" w:ascii="仿宋_GB2312" w:eastAsia="仿宋_GB2312" w:cs="宋体"/>
          <w:color w:val="auto"/>
          <w:kern w:val="0"/>
          <w:sz w:val="32"/>
          <w:szCs w:val="32"/>
          <w:highlight w:val="none"/>
        </w:rPr>
      </w:pPr>
      <w:r>
        <w:rPr>
          <w:rFonts w:hint="eastAsia" w:ascii="黑体" w:hAnsi="黑体" w:eastAsia="黑体" w:cs="黑体"/>
          <w:b w:val="0"/>
          <w:bCs/>
          <w:color w:val="auto"/>
          <w:kern w:val="0"/>
          <w:sz w:val="32"/>
          <w:szCs w:val="32"/>
          <w:highlight w:val="none"/>
        </w:rPr>
        <w:t>第</w:t>
      </w:r>
      <w:r>
        <w:rPr>
          <w:rFonts w:hint="eastAsia" w:ascii="黑体" w:hAnsi="黑体" w:eastAsia="黑体" w:cs="黑体"/>
          <w:b w:val="0"/>
          <w:bCs/>
          <w:color w:val="auto"/>
          <w:kern w:val="0"/>
          <w:sz w:val="32"/>
          <w:szCs w:val="32"/>
          <w:highlight w:val="none"/>
          <w:lang w:eastAsia="zh-CN"/>
        </w:rPr>
        <w:t>八</w:t>
      </w:r>
      <w:r>
        <w:rPr>
          <w:rFonts w:hint="eastAsia" w:ascii="黑体" w:hAnsi="黑体" w:eastAsia="黑体" w:cs="黑体"/>
          <w:b w:val="0"/>
          <w:bCs/>
          <w:color w:val="auto"/>
          <w:kern w:val="0"/>
          <w:sz w:val="32"/>
          <w:szCs w:val="32"/>
          <w:highlight w:val="none"/>
        </w:rPr>
        <w:t>条</w:t>
      </w:r>
      <w:r>
        <w:rPr>
          <w:rFonts w:hint="eastAsia" w:ascii="仿宋_GB2312" w:eastAsia="仿宋_GB2312" w:cs="宋体"/>
          <w:color w:val="auto"/>
          <w:kern w:val="0"/>
          <w:sz w:val="32"/>
          <w:szCs w:val="32"/>
          <w:highlight w:val="none"/>
        </w:rPr>
        <w:t xml:space="preserve">  评审项目需要委托</w:t>
      </w:r>
      <w:r>
        <w:rPr>
          <w:rFonts w:hint="eastAsia" w:ascii="仿宋_GB2312" w:eastAsia="仿宋_GB2312"/>
          <w:color w:val="auto"/>
          <w:sz w:val="32"/>
          <w:szCs w:val="32"/>
          <w:highlight w:val="none"/>
          <w:lang w:eastAsia="zh-CN"/>
        </w:rPr>
        <w:t>中介机构</w:t>
      </w:r>
      <w:r>
        <w:rPr>
          <w:rFonts w:hint="eastAsia" w:ascii="仿宋_GB2312" w:eastAsia="仿宋_GB2312" w:cs="宋体"/>
          <w:color w:val="auto"/>
          <w:kern w:val="0"/>
          <w:sz w:val="32"/>
          <w:szCs w:val="32"/>
          <w:highlight w:val="none"/>
        </w:rPr>
        <w:t>时，按如下程序</w:t>
      </w:r>
      <w:r>
        <w:rPr>
          <w:rFonts w:hint="eastAsia" w:ascii="仿宋_GB2312" w:eastAsia="仿宋_GB2312" w:cs="宋体"/>
          <w:color w:val="auto"/>
          <w:kern w:val="0"/>
          <w:sz w:val="32"/>
          <w:szCs w:val="32"/>
          <w:highlight w:val="none"/>
          <w:lang w:eastAsia="zh-CN"/>
        </w:rPr>
        <w:t>进行</w:t>
      </w:r>
      <w:r>
        <w:rPr>
          <w:rFonts w:hint="eastAsia" w:ascii="仿宋_GB2312" w:eastAsia="仿宋_GB2312" w:cs="宋体"/>
          <w:color w:val="auto"/>
          <w:kern w:val="0"/>
          <w:sz w:val="32"/>
          <w:szCs w:val="32"/>
          <w:highlight w:val="none"/>
        </w:rPr>
        <w:t>：</w:t>
      </w:r>
    </w:p>
    <w:p>
      <w:pPr>
        <w:keepNext w:val="0"/>
        <w:keepLines w:val="0"/>
        <w:pageBreakBefore w:val="0"/>
        <w:kinsoku/>
        <w:wordWrap/>
        <w:overflowPunct/>
        <w:topLinePunct w:val="0"/>
        <w:autoSpaceDE/>
        <w:autoSpaceDN/>
        <w:bidi w:val="0"/>
        <w:adjustRightInd w:val="0"/>
        <w:snapToGrid w:val="0"/>
        <w:spacing w:beforeLines="0" w:afterLines="0" w:line="0" w:lineRule="atLeast"/>
        <w:ind w:firstLine="636" w:firstLineChars="200"/>
        <w:textAlignment w:val="auto"/>
        <w:rPr>
          <w:rFonts w:hint="eastAsia" w:ascii="方正仿宋_GBK" w:hAnsi="方正仿宋_GBK" w:eastAsia="仿宋_GB2312" w:cs="方正仿宋_GBK"/>
          <w:color w:val="auto"/>
          <w:kern w:val="0"/>
          <w:sz w:val="32"/>
          <w:szCs w:val="32"/>
          <w:highlight w:val="none"/>
          <w:lang w:eastAsia="zh-CN"/>
        </w:rPr>
      </w:pPr>
      <w:r>
        <w:rPr>
          <w:rFonts w:hint="eastAsia" w:ascii="方正仿宋_GBK" w:hAnsi="方正仿宋_GBK" w:eastAsia="方正仿宋_GBK" w:cs="方正仿宋_GBK"/>
          <w:b w:val="0"/>
          <w:bCs w:val="0"/>
          <w:color w:val="auto"/>
          <w:kern w:val="0"/>
          <w:sz w:val="32"/>
          <w:szCs w:val="32"/>
          <w:highlight w:val="none"/>
        </w:rPr>
        <w:t>（一）</w:t>
      </w:r>
      <w:r>
        <w:rPr>
          <w:rFonts w:hint="eastAsia" w:ascii="方正仿宋_GBK" w:hAnsi="方正仿宋_GBK" w:eastAsia="方正仿宋_GBK" w:cs="方正仿宋_GBK"/>
          <w:b w:val="0"/>
          <w:bCs w:val="0"/>
          <w:color w:val="auto"/>
          <w:kern w:val="0"/>
          <w:sz w:val="32"/>
          <w:szCs w:val="32"/>
          <w:highlight w:val="none"/>
          <w:u w:val="none"/>
        </w:rPr>
        <w:t>确定</w:t>
      </w:r>
      <w:r>
        <w:rPr>
          <w:rFonts w:hint="eastAsia" w:ascii="方正仿宋_GBK" w:hAnsi="方正仿宋_GBK" w:eastAsia="方正仿宋_GBK" w:cs="方正仿宋_GBK"/>
          <w:b w:val="0"/>
          <w:bCs w:val="0"/>
          <w:color w:val="auto"/>
          <w:kern w:val="0"/>
          <w:sz w:val="32"/>
          <w:szCs w:val="32"/>
          <w:highlight w:val="none"/>
          <w:u w:val="none"/>
          <w:lang w:eastAsia="zh-CN"/>
        </w:rPr>
        <w:t>机构</w:t>
      </w:r>
      <w:r>
        <w:rPr>
          <w:rFonts w:hint="eastAsia" w:ascii="方正仿宋_GBK" w:hAnsi="方正仿宋_GBK" w:eastAsia="方正仿宋_GBK" w:cs="方正仿宋_GBK"/>
          <w:b w:val="0"/>
          <w:bCs w:val="0"/>
          <w:color w:val="auto"/>
          <w:kern w:val="0"/>
          <w:sz w:val="32"/>
          <w:szCs w:val="32"/>
          <w:highlight w:val="none"/>
          <w:u w:val="none"/>
        </w:rPr>
        <w:t>：</w:t>
      </w:r>
      <w:r>
        <w:rPr>
          <w:rFonts w:hint="eastAsia" w:ascii="仿宋_GB2312" w:hAnsi="仿宋_GB2312" w:eastAsia="仿宋_GB2312" w:cs="仿宋_GB2312"/>
          <w:color w:val="auto"/>
          <w:sz w:val="32"/>
          <w:szCs w:val="32"/>
          <w:highlight w:val="none"/>
          <w:lang w:eastAsia="zh-CN"/>
        </w:rPr>
        <w:t>通过</w:t>
      </w:r>
      <w:r>
        <w:rPr>
          <w:rFonts w:hint="eastAsia" w:ascii="仿宋_GB2312" w:hAnsi="仿宋_GB2312" w:eastAsia="仿宋_GB2312" w:cs="仿宋_GB2312"/>
          <w:color w:val="auto"/>
          <w:sz w:val="32"/>
          <w:szCs w:val="32"/>
          <w:highlight w:val="none"/>
        </w:rPr>
        <w:t>公开</w:t>
      </w:r>
      <w:r>
        <w:rPr>
          <w:rFonts w:hint="eastAsia" w:ascii="仿宋_GB2312" w:hAnsi="仿宋_GB2312" w:eastAsia="仿宋_GB2312" w:cs="仿宋_GB2312"/>
          <w:color w:val="auto"/>
          <w:sz w:val="32"/>
          <w:szCs w:val="32"/>
          <w:highlight w:val="none"/>
          <w:lang w:eastAsia="zh-CN"/>
        </w:rPr>
        <w:t>程序</w:t>
      </w:r>
      <w:r>
        <w:rPr>
          <w:rFonts w:hint="eastAsia" w:ascii="仿宋_GB2312" w:hAnsi="仿宋_GB2312" w:eastAsia="仿宋_GB2312" w:cs="仿宋_GB2312"/>
          <w:strike w:val="0"/>
          <w:color w:val="auto"/>
          <w:sz w:val="32"/>
          <w:szCs w:val="32"/>
          <w:highlight w:val="none"/>
        </w:rPr>
        <w:t>确定</w:t>
      </w:r>
      <w:r>
        <w:rPr>
          <w:rFonts w:hint="eastAsia" w:ascii="仿宋_GB2312" w:hAnsi="仿宋_GB2312" w:eastAsia="仿宋_GB2312" w:cs="仿宋_GB2312"/>
          <w:strike w:val="0"/>
          <w:color w:val="auto"/>
          <w:sz w:val="32"/>
          <w:szCs w:val="32"/>
          <w:highlight w:val="none"/>
          <w:lang w:eastAsia="zh-CN"/>
        </w:rPr>
        <w:t>中介机构</w:t>
      </w:r>
      <w:r>
        <w:rPr>
          <w:rFonts w:hint="eastAsia" w:ascii="方正仿宋_GBK" w:hAnsi="方正仿宋_GBK" w:eastAsia="方正仿宋_GBK" w:cs="方正仿宋_GBK"/>
          <w:color w:val="auto"/>
          <w:kern w:val="0"/>
          <w:sz w:val="32"/>
          <w:szCs w:val="32"/>
          <w:lang w:eastAsia="zh-CN"/>
        </w:rPr>
        <w:t>。根据招标文件若需采用抽取方式确定的，</w:t>
      </w:r>
      <w:r>
        <w:rPr>
          <w:rFonts w:hint="eastAsia" w:ascii="方正仿宋_GBK" w:hAnsi="方正仿宋_GBK" w:eastAsia="方正仿宋_GBK" w:cs="方正仿宋_GBK"/>
          <w:color w:val="auto"/>
          <w:kern w:val="0"/>
          <w:sz w:val="32"/>
          <w:szCs w:val="32"/>
        </w:rPr>
        <w:t>由评审中心派员在市政务中介服务中心</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highlight w:val="none"/>
          <w:u w:val="none"/>
          <w:lang w:eastAsia="zh-CN"/>
        </w:rPr>
        <w:t>根据招标文件确定的抽取方式，从</w:t>
      </w:r>
      <w:r>
        <w:rPr>
          <w:rFonts w:hint="eastAsia" w:ascii="仿宋_GB2312" w:hAnsi="仿宋" w:eastAsia="仿宋_GB2312" w:cs="宋体"/>
          <w:color w:val="auto"/>
          <w:kern w:val="0"/>
          <w:sz w:val="32"/>
          <w:szCs w:val="32"/>
        </w:rPr>
        <w:t>符合条件的</w:t>
      </w:r>
      <w:r>
        <w:rPr>
          <w:rFonts w:hint="eastAsia" w:ascii="仿宋_GB2312" w:hAnsi="仿宋" w:eastAsia="仿宋_GB2312" w:cs="宋体"/>
          <w:color w:val="auto"/>
          <w:kern w:val="0"/>
          <w:sz w:val="32"/>
          <w:szCs w:val="32"/>
          <w:lang w:eastAsia="zh-CN"/>
        </w:rPr>
        <w:t>中介</w:t>
      </w:r>
      <w:r>
        <w:rPr>
          <w:rFonts w:hint="eastAsia" w:ascii="仿宋_GB2312" w:hAnsi="仿宋" w:eastAsia="仿宋_GB2312" w:cs="宋体"/>
          <w:color w:val="auto"/>
          <w:kern w:val="0"/>
          <w:sz w:val="32"/>
          <w:szCs w:val="32"/>
        </w:rPr>
        <w:t>机构</w:t>
      </w:r>
      <w:r>
        <w:rPr>
          <w:rFonts w:hint="eastAsia" w:ascii="仿宋_GB2312" w:hAnsi="仿宋" w:eastAsia="仿宋_GB2312" w:cs="宋体"/>
          <w:color w:val="auto"/>
          <w:kern w:val="0"/>
          <w:sz w:val="32"/>
          <w:szCs w:val="32"/>
          <w:lang w:eastAsia="zh-CN"/>
        </w:rPr>
        <w:t>中</w:t>
      </w:r>
      <w:r>
        <w:rPr>
          <w:rFonts w:hint="eastAsia" w:ascii="仿宋_GB2312" w:hAnsi="仿宋" w:eastAsia="仿宋_GB2312" w:cs="宋体"/>
          <w:color w:val="auto"/>
          <w:kern w:val="0"/>
          <w:sz w:val="32"/>
          <w:szCs w:val="32"/>
        </w:rPr>
        <w:t>随机抽选</w:t>
      </w:r>
      <w:r>
        <w:rPr>
          <w:rFonts w:hint="eastAsia" w:ascii="仿宋_GB2312" w:hAnsi="仿宋" w:eastAsia="仿宋_GB2312" w:cs="宋体"/>
          <w:color w:val="auto"/>
          <w:kern w:val="0"/>
          <w:sz w:val="32"/>
          <w:szCs w:val="32"/>
          <w:lang w:eastAsia="zh-CN"/>
        </w:rPr>
        <w:t>，</w:t>
      </w:r>
      <w:r>
        <w:rPr>
          <w:rFonts w:hint="eastAsia" w:ascii="方正仿宋_GBK" w:hAnsi="方正仿宋_GBK" w:eastAsia="方正仿宋_GBK" w:cs="方正仿宋_GBK"/>
          <w:color w:val="auto"/>
          <w:kern w:val="0"/>
          <w:sz w:val="32"/>
          <w:szCs w:val="32"/>
        </w:rPr>
        <w:t>抽选结果经参与人员共同签字</w:t>
      </w:r>
      <w:r>
        <w:rPr>
          <w:rFonts w:hint="eastAsia" w:ascii="方正仿宋_GBK" w:hAnsi="方正仿宋_GBK" w:eastAsia="方正仿宋_GBK" w:cs="方正仿宋_GBK"/>
          <w:color w:val="auto"/>
          <w:kern w:val="0"/>
          <w:sz w:val="32"/>
          <w:szCs w:val="32"/>
          <w:highlight w:val="none"/>
          <w:u w:val="none"/>
          <w:lang w:eastAsia="zh-CN"/>
        </w:rPr>
        <w:t>确认并存档备查。</w:t>
      </w:r>
    </w:p>
    <w:p>
      <w:pPr>
        <w:keepNext w:val="0"/>
        <w:keepLines w:val="0"/>
        <w:pageBreakBefore w:val="0"/>
        <w:kinsoku/>
        <w:wordWrap/>
        <w:overflowPunct/>
        <w:topLinePunct w:val="0"/>
        <w:autoSpaceDE/>
        <w:autoSpaceDN/>
        <w:bidi w:val="0"/>
        <w:adjustRightInd w:val="0"/>
        <w:snapToGrid w:val="0"/>
        <w:spacing w:beforeLines="0" w:afterLines="0" w:line="0" w:lineRule="atLeast"/>
        <w:ind w:firstLine="636" w:firstLineChars="200"/>
        <w:textAlignment w:val="auto"/>
        <w:rPr>
          <w:rFonts w:hint="eastAsia" w:ascii="方正仿宋_GBK" w:hAnsi="方正仿宋_GBK" w:eastAsia="方正仿宋_GBK" w:cs="方正仿宋_GBK"/>
          <w:color w:val="auto"/>
          <w:kern w:val="0"/>
          <w:sz w:val="32"/>
          <w:szCs w:val="32"/>
          <w:highlight w:val="none"/>
          <w:u w:val="none"/>
          <w:lang w:eastAsia="zh-CN"/>
        </w:rPr>
      </w:pPr>
      <w:r>
        <w:rPr>
          <w:rFonts w:hint="eastAsia" w:ascii="方正仿宋_GBK" w:hAnsi="方正仿宋_GBK" w:eastAsia="方正仿宋_GBK" w:cs="方正仿宋_GBK"/>
          <w:b w:val="0"/>
          <w:bCs w:val="0"/>
          <w:color w:val="auto"/>
          <w:kern w:val="0"/>
          <w:sz w:val="32"/>
          <w:szCs w:val="32"/>
          <w:highlight w:val="none"/>
          <w:u w:val="none"/>
        </w:rPr>
        <w:t>（二）</w:t>
      </w:r>
      <w:r>
        <w:rPr>
          <w:rFonts w:hint="eastAsia" w:ascii="方正仿宋_GBK" w:hAnsi="方正仿宋_GBK" w:eastAsia="方正仿宋_GBK" w:cs="方正仿宋_GBK"/>
          <w:b w:val="0"/>
          <w:bCs w:val="0"/>
          <w:color w:val="auto"/>
          <w:kern w:val="0"/>
          <w:sz w:val="32"/>
          <w:szCs w:val="32"/>
          <w:highlight w:val="none"/>
        </w:rPr>
        <w:t>委托报批：</w:t>
      </w:r>
      <w:r>
        <w:rPr>
          <w:rFonts w:hint="eastAsia" w:ascii="方正仿宋_GBK" w:hAnsi="方正仿宋_GBK" w:eastAsia="方正仿宋_GBK" w:cs="方正仿宋_GBK"/>
          <w:b w:val="0"/>
          <w:bCs w:val="0"/>
          <w:color w:val="auto"/>
          <w:kern w:val="0"/>
          <w:sz w:val="32"/>
          <w:szCs w:val="32"/>
          <w:highlight w:val="none"/>
          <w:lang w:eastAsia="zh-CN"/>
        </w:rPr>
        <w:t>选中中介机构后，</w:t>
      </w:r>
      <w:r>
        <w:rPr>
          <w:rFonts w:hint="eastAsia" w:ascii="仿宋_GB2312" w:hAnsi="仿宋" w:eastAsia="仿宋_GB2312" w:cs="宋体"/>
          <w:color w:val="auto"/>
          <w:kern w:val="0"/>
          <w:sz w:val="32"/>
          <w:szCs w:val="32"/>
          <w:highlight w:val="none"/>
          <w:u w:val="none"/>
          <w:lang w:val="en-US" w:eastAsia="zh-CN"/>
        </w:rPr>
        <w:t>由评审中心</w:t>
      </w:r>
      <w:r>
        <w:rPr>
          <w:rFonts w:hint="eastAsia" w:ascii="仿宋_GB2312" w:hAnsi="仿宋" w:eastAsia="仿宋_GB2312" w:cs="宋体"/>
          <w:color w:val="auto"/>
          <w:kern w:val="0"/>
          <w:sz w:val="32"/>
          <w:szCs w:val="32"/>
          <w:highlight w:val="none"/>
          <w:u w:val="none"/>
          <w:lang w:eastAsia="zh-CN"/>
        </w:rPr>
        <w:t>项目负责人</w:t>
      </w:r>
      <w:r>
        <w:rPr>
          <w:rFonts w:hint="eastAsia" w:ascii="仿宋_GB2312" w:hAnsi="仿宋" w:eastAsia="仿宋_GB2312" w:cs="宋体"/>
          <w:color w:val="auto"/>
          <w:kern w:val="0"/>
          <w:sz w:val="32"/>
          <w:szCs w:val="32"/>
          <w:highlight w:val="none"/>
          <w:u w:val="none"/>
          <w:lang w:val="en-US" w:eastAsia="zh-CN"/>
        </w:rPr>
        <w:t>负责联系中选中介机构确定其是否需要申请回避，并</w:t>
      </w:r>
      <w:r>
        <w:rPr>
          <w:rFonts w:hint="eastAsia" w:ascii="方正仿宋_GBK" w:hAnsi="方正仿宋_GBK" w:eastAsia="方正仿宋_GBK" w:cs="方正仿宋_GBK"/>
          <w:color w:val="auto"/>
          <w:kern w:val="0"/>
          <w:sz w:val="32"/>
          <w:szCs w:val="32"/>
        </w:rPr>
        <w:t>报请三明市财政局审批，报批时应</w:t>
      </w:r>
      <w:r>
        <w:rPr>
          <w:rFonts w:hint="eastAsia" w:ascii="仿宋_GB2312" w:hAnsi="仿宋" w:eastAsia="仿宋_GB2312" w:cs="宋体"/>
          <w:color w:val="auto"/>
          <w:kern w:val="0"/>
          <w:sz w:val="32"/>
          <w:szCs w:val="32"/>
          <w:highlight w:val="none"/>
          <w:u w:val="none"/>
          <w:lang w:val="en-US" w:eastAsia="zh-CN"/>
        </w:rPr>
        <w:t>草拟《委托评审合同》，</w:t>
      </w:r>
      <w:r>
        <w:rPr>
          <w:rFonts w:hint="eastAsia" w:ascii="方正仿宋_GBK" w:hAnsi="方正仿宋_GBK" w:eastAsia="方正仿宋_GBK" w:cs="方正仿宋_GBK"/>
          <w:color w:val="auto"/>
          <w:kern w:val="0"/>
          <w:sz w:val="32"/>
          <w:szCs w:val="32"/>
        </w:rPr>
        <w:t>写明委托评审项目名称、评审类型、送审金额、委托评审时限、</w:t>
      </w:r>
      <w:r>
        <w:rPr>
          <w:rFonts w:hint="eastAsia" w:ascii="方正仿宋_GBK" w:hAnsi="方正仿宋_GBK" w:eastAsia="方正仿宋_GBK" w:cs="方正仿宋_GBK"/>
          <w:color w:val="auto"/>
          <w:kern w:val="0"/>
          <w:sz w:val="32"/>
          <w:szCs w:val="32"/>
          <w:lang w:eastAsia="zh-CN"/>
        </w:rPr>
        <w:t>委托中介</w:t>
      </w:r>
      <w:r>
        <w:rPr>
          <w:rFonts w:hint="eastAsia" w:ascii="方正仿宋_GBK" w:hAnsi="方正仿宋_GBK" w:eastAsia="方正仿宋_GBK" w:cs="方正仿宋_GBK"/>
          <w:color w:val="auto"/>
          <w:kern w:val="0"/>
          <w:sz w:val="32"/>
          <w:szCs w:val="32"/>
        </w:rPr>
        <w:t>机构、委托评审费用测算情况及付费渠道等。</w:t>
      </w:r>
      <w:r>
        <w:rPr>
          <w:rFonts w:hint="eastAsia" w:ascii="方正仿宋_GBK" w:hAnsi="方正仿宋_GBK" w:eastAsia="方正仿宋_GBK" w:cs="方正仿宋_GBK"/>
          <w:color w:val="auto"/>
          <w:kern w:val="0"/>
          <w:sz w:val="32"/>
          <w:szCs w:val="32"/>
          <w:lang w:eastAsia="zh-CN"/>
        </w:rPr>
        <w:t>若中选中介机构申请回避的，应重新确定委托中介机构。</w:t>
      </w:r>
    </w:p>
    <w:p>
      <w:pPr>
        <w:keepNext w:val="0"/>
        <w:keepLines w:val="0"/>
        <w:pageBreakBefore w:val="0"/>
        <w:kinsoku/>
        <w:wordWrap/>
        <w:overflowPunct/>
        <w:topLinePunct w:val="0"/>
        <w:autoSpaceDE/>
        <w:autoSpaceDN/>
        <w:bidi w:val="0"/>
        <w:adjustRightInd w:val="0"/>
        <w:snapToGrid w:val="0"/>
        <w:spacing w:beforeLines="0" w:afterLines="0" w:line="0" w:lineRule="atLeast"/>
        <w:ind w:firstLine="636" w:firstLineChars="200"/>
        <w:textAlignment w:val="auto"/>
        <w:rPr>
          <w:rFonts w:hint="eastAsia" w:ascii="仿宋_GB2312" w:hAnsi="仿宋" w:eastAsia="仿宋_GB2312" w:cs="宋体"/>
          <w:color w:val="auto"/>
          <w:kern w:val="0"/>
          <w:sz w:val="32"/>
          <w:szCs w:val="32"/>
          <w:highlight w:val="none"/>
          <w:u w:val="none"/>
          <w:lang w:val="en-US" w:eastAsia="zh-CN"/>
        </w:rPr>
      </w:pPr>
      <w:r>
        <w:rPr>
          <w:rFonts w:hint="eastAsia" w:ascii="方正仿宋_GBK" w:hAnsi="方正仿宋_GBK" w:eastAsia="方正仿宋_GBK" w:cs="方正仿宋_GBK"/>
          <w:b w:val="0"/>
          <w:bCs w:val="0"/>
          <w:color w:val="auto"/>
          <w:kern w:val="0"/>
          <w:sz w:val="32"/>
          <w:szCs w:val="32"/>
          <w:highlight w:val="none"/>
          <w:u w:val="none"/>
          <w:lang w:val="en-US" w:eastAsia="zh-CN"/>
        </w:rPr>
        <w:t>（三）签订合同：经三明市财政局审批后，</w:t>
      </w:r>
      <w:r>
        <w:rPr>
          <w:rFonts w:hint="eastAsia" w:ascii="仿宋_GB2312" w:hAnsi="仿宋" w:eastAsia="仿宋_GB2312" w:cs="宋体"/>
          <w:color w:val="auto"/>
          <w:kern w:val="0"/>
          <w:sz w:val="32"/>
          <w:szCs w:val="32"/>
          <w:highlight w:val="none"/>
          <w:u w:val="none"/>
          <w:lang w:val="en-US" w:eastAsia="zh-CN"/>
        </w:rPr>
        <w:t>由三明市财政局与中选中介机构签订《委托评审合同》。</w:t>
      </w:r>
    </w:p>
    <w:p>
      <w:pPr>
        <w:keepNext w:val="0"/>
        <w:keepLines w:val="0"/>
        <w:pageBreakBefore w:val="0"/>
        <w:kinsoku/>
        <w:wordWrap/>
        <w:overflowPunct/>
        <w:topLinePunct w:val="0"/>
        <w:autoSpaceDE/>
        <w:autoSpaceDN/>
        <w:bidi w:val="0"/>
        <w:adjustRightInd w:val="0"/>
        <w:snapToGrid w:val="0"/>
        <w:spacing w:beforeLines="0" w:afterLines="0" w:line="0" w:lineRule="atLeast"/>
        <w:ind w:firstLine="636" w:firstLineChars="200"/>
        <w:textAlignment w:val="auto"/>
        <w:rPr>
          <w:rFonts w:hint="eastAsia" w:ascii="仿宋_GB2312" w:hAnsi="仿宋" w:eastAsia="仿宋_GB2312" w:cs="宋体"/>
          <w:color w:val="auto"/>
          <w:kern w:val="0"/>
          <w:sz w:val="32"/>
          <w:szCs w:val="32"/>
          <w:highlight w:val="none"/>
          <w:u w:val="none"/>
          <w:lang w:eastAsia="zh-CN"/>
        </w:rPr>
      </w:pPr>
      <w:r>
        <w:rPr>
          <w:rFonts w:hint="eastAsia" w:ascii="黑体" w:hAnsi="黑体" w:eastAsia="黑体" w:cs="黑体"/>
          <w:b w:val="0"/>
          <w:bCs/>
          <w:color w:val="auto"/>
          <w:kern w:val="0"/>
          <w:sz w:val="32"/>
          <w:szCs w:val="32"/>
          <w:highlight w:val="none"/>
          <w:lang w:eastAsia="zh-CN"/>
        </w:rPr>
        <w:t xml:space="preserve">第九条 </w:t>
      </w:r>
      <w:r>
        <w:rPr>
          <w:rFonts w:hint="eastAsia" w:ascii="仿宋_GB2312" w:hAnsi="仿宋" w:eastAsia="仿宋_GB2312" w:cs="宋体"/>
          <w:color w:val="auto"/>
          <w:kern w:val="0"/>
          <w:sz w:val="32"/>
          <w:szCs w:val="32"/>
          <w:highlight w:val="none"/>
          <w:u w:val="none"/>
          <w:lang w:eastAsia="zh-CN"/>
        </w:rPr>
        <w:t xml:space="preserve"> 《委托评审合同》签订后，评审中心项目负责人负责将评审资料交给中介机构，并做好移交目录及登记手续。中介机构接受任务后，应按合同有关要求组建项目评审组并在提交评审报告初稿前向评审中心提交评审组人员名单及联系方式，同时指定评审组负责人负责协调评审过程中的有关事项</w:t>
      </w:r>
      <w:r>
        <w:rPr>
          <w:rFonts w:hint="eastAsia" w:ascii="仿宋_GB2312" w:eastAsia="仿宋_GB2312"/>
          <w:color w:val="auto"/>
          <w:sz w:val="32"/>
          <w:szCs w:val="32"/>
          <w:highlight w:val="none"/>
          <w:lang w:eastAsia="zh-CN"/>
        </w:rPr>
        <w:t>，全过程参与并主持项目评审工作</w:t>
      </w:r>
      <w:r>
        <w:rPr>
          <w:rFonts w:hint="eastAsia" w:ascii="仿宋_GB2312" w:hAnsi="仿宋" w:eastAsia="仿宋_GB2312" w:cs="宋体"/>
          <w:color w:val="auto"/>
          <w:kern w:val="0"/>
          <w:sz w:val="32"/>
          <w:szCs w:val="32"/>
          <w:highlight w:val="none"/>
          <w:u w:val="none"/>
          <w:lang w:eastAsia="zh-CN"/>
        </w:rPr>
        <w:t>。评审中心项目负责人应按有关规定负责组织、管理和跟踪评审过程，并对中介机构选派的评审人员执业资格进行核实；中介机构应在合同约定的时间内完成评审报告，评审报告需按规定的格式并经评审组人员及中介机构签章后出具。合同约定的时间为自《委托评审合同》签订之日起，至签章出具评审报告止，全部评审过程中介机构工作所耗时间之和。</w:t>
      </w:r>
      <w:r>
        <w:rPr>
          <w:rFonts w:hint="eastAsia" w:ascii="仿宋_GB2312" w:hAnsi="仿宋" w:eastAsia="仿宋_GB2312" w:cs="宋体"/>
          <w:color w:val="auto"/>
          <w:kern w:val="0"/>
          <w:sz w:val="32"/>
          <w:szCs w:val="32"/>
        </w:rPr>
        <w:t>评审中心复核以及预约对账、会商等工作所耗时间，不计入合同约定时限内。</w:t>
      </w:r>
      <w:r>
        <w:rPr>
          <w:rFonts w:hint="eastAsia" w:ascii="仿宋_GB2312" w:hAnsi="仿宋" w:eastAsia="仿宋_GB2312"/>
          <w:color w:val="auto"/>
          <w:sz w:val="32"/>
          <w:szCs w:val="32"/>
        </w:rPr>
        <w:t>如有特殊情况，</w:t>
      </w:r>
      <w:r>
        <w:rPr>
          <w:rFonts w:hint="eastAsia" w:ascii="仿宋_GB2312" w:hAnsi="仿宋" w:eastAsia="仿宋_GB2312"/>
          <w:color w:val="auto"/>
          <w:sz w:val="32"/>
          <w:szCs w:val="32"/>
          <w:lang w:eastAsia="zh-CN"/>
        </w:rPr>
        <w:t>中介</w:t>
      </w:r>
      <w:r>
        <w:rPr>
          <w:rFonts w:hint="eastAsia" w:ascii="仿宋_GB2312" w:hAnsi="仿宋" w:eastAsia="仿宋_GB2312"/>
          <w:color w:val="auto"/>
          <w:sz w:val="32"/>
          <w:szCs w:val="32"/>
        </w:rPr>
        <w:t>机构应及时向评审中心提交书面</w:t>
      </w:r>
      <w:r>
        <w:rPr>
          <w:rFonts w:hint="eastAsia" w:ascii="仿宋_GB2312" w:hAnsi="仿宋" w:eastAsia="仿宋_GB2312"/>
          <w:color w:val="auto"/>
          <w:sz w:val="32"/>
          <w:szCs w:val="32"/>
          <w:lang w:eastAsia="zh-CN"/>
        </w:rPr>
        <w:t>申请适当延长评审时限，经批准后可予延长合同履约时限</w:t>
      </w:r>
      <w:r>
        <w:rPr>
          <w:rFonts w:hint="eastAsia" w:ascii="仿宋_GB2312" w:hAnsi="仿宋" w:eastAsia="仿宋_GB2312"/>
          <w:color w:val="auto"/>
          <w:sz w:val="32"/>
          <w:szCs w:val="32"/>
        </w:rPr>
        <w:t>。</w:t>
      </w:r>
    </w:p>
    <w:p>
      <w:pPr>
        <w:keepNext w:val="0"/>
        <w:keepLines w:val="0"/>
        <w:pageBreakBefore w:val="0"/>
        <w:kinsoku/>
        <w:wordWrap/>
        <w:overflowPunct/>
        <w:topLinePunct w:val="0"/>
        <w:autoSpaceDE/>
        <w:autoSpaceDN/>
        <w:bidi w:val="0"/>
        <w:adjustRightInd w:val="0"/>
        <w:snapToGrid w:val="0"/>
        <w:spacing w:beforeLines="0" w:afterLines="0" w:line="0" w:lineRule="atLeast"/>
        <w:ind w:firstLine="636" w:firstLineChars="200"/>
        <w:textAlignment w:val="auto"/>
        <w:rPr>
          <w:rFonts w:hint="eastAsia" w:ascii="仿宋_GB2312" w:hAnsi="仿宋" w:eastAsia="仿宋_GB2312" w:cs="宋体"/>
          <w:color w:val="auto"/>
          <w:kern w:val="0"/>
          <w:sz w:val="32"/>
          <w:szCs w:val="32"/>
          <w:highlight w:val="none"/>
          <w:u w:val="none"/>
          <w:lang w:eastAsia="zh-CN"/>
        </w:rPr>
      </w:pPr>
      <w:r>
        <w:rPr>
          <w:rFonts w:hint="eastAsia" w:ascii="仿宋_GB2312" w:hAnsi="仿宋" w:eastAsia="仿宋_GB2312" w:cs="宋体"/>
          <w:color w:val="auto"/>
          <w:kern w:val="0"/>
          <w:sz w:val="32"/>
          <w:szCs w:val="32"/>
          <w:highlight w:val="none"/>
          <w:u w:val="none"/>
          <w:lang w:eastAsia="zh-CN"/>
        </w:rPr>
        <w:t>中介机构应在规定时间内向评审中心提交评审报告初稿。评审中心项目负责人在收到中介机构评审报告初稿后，应做好登记手续，确认交付时间，并及时进行复核或转交各专业人员复核，提出复核意见；中介机构评审组人员在接到复核意见后应按评审有关规定进行对账、会商、调账等工作，并及时调整评审报告。</w:t>
      </w:r>
    </w:p>
    <w:p>
      <w:pPr>
        <w:keepNext w:val="0"/>
        <w:keepLines w:val="0"/>
        <w:pageBreakBefore w:val="0"/>
        <w:kinsoku/>
        <w:wordWrap/>
        <w:overflowPunct/>
        <w:topLinePunct w:val="0"/>
        <w:autoSpaceDE/>
        <w:autoSpaceDN/>
        <w:bidi w:val="0"/>
        <w:adjustRightInd w:val="0"/>
        <w:snapToGrid w:val="0"/>
        <w:spacing w:beforeLines="0" w:afterLines="0" w:line="0" w:lineRule="atLeast"/>
        <w:ind w:firstLine="636" w:firstLineChars="200"/>
        <w:textAlignment w:val="auto"/>
        <w:rPr>
          <w:rFonts w:hint="eastAsia" w:ascii="仿宋_GB2312" w:eastAsia="仿宋_GB2312" w:cs="宋体"/>
          <w:color w:val="auto"/>
          <w:kern w:val="0"/>
          <w:sz w:val="32"/>
          <w:szCs w:val="32"/>
          <w:highlight w:val="none"/>
        </w:rPr>
      </w:pPr>
      <w:r>
        <w:rPr>
          <w:rFonts w:hint="eastAsia" w:ascii="黑体" w:hAnsi="黑体" w:eastAsia="黑体" w:cs="黑体"/>
          <w:b w:val="0"/>
          <w:bCs/>
          <w:color w:val="auto"/>
          <w:kern w:val="0"/>
          <w:sz w:val="32"/>
          <w:szCs w:val="32"/>
          <w:highlight w:val="none"/>
          <w:lang w:eastAsia="zh-CN"/>
        </w:rPr>
        <w:t xml:space="preserve">第十条 </w:t>
      </w:r>
      <w:r>
        <w:rPr>
          <w:rFonts w:hint="eastAsia" w:ascii="仿宋_GB2312" w:hAnsi="仿宋" w:eastAsia="仿宋_GB2312" w:cs="宋体"/>
          <w:color w:val="auto"/>
          <w:kern w:val="0"/>
          <w:sz w:val="32"/>
          <w:szCs w:val="32"/>
          <w:highlight w:val="none"/>
          <w:u w:val="none"/>
          <w:lang w:eastAsia="zh-CN"/>
        </w:rPr>
        <w:t xml:space="preserve"> </w:t>
      </w:r>
      <w:r>
        <w:rPr>
          <w:rFonts w:hint="eastAsia" w:ascii="仿宋_GB2312" w:hAnsi="仿宋" w:eastAsia="仿宋_GB2312" w:cs="宋体"/>
          <w:color w:val="auto"/>
          <w:kern w:val="0"/>
          <w:sz w:val="32"/>
          <w:szCs w:val="32"/>
        </w:rPr>
        <w:t>项目评审结束后（以出具评审报告经评审中心认</w:t>
      </w:r>
      <w:r>
        <w:rPr>
          <w:rFonts w:hint="eastAsia" w:ascii="仿宋_GB2312" w:hAnsi="仿宋" w:eastAsia="仿宋_GB2312" w:cs="宋体"/>
          <w:color w:val="auto"/>
          <w:kern w:val="0"/>
          <w:sz w:val="32"/>
          <w:szCs w:val="32"/>
          <w:lang w:eastAsia="zh-CN"/>
        </w:rPr>
        <w:t>可</w:t>
      </w:r>
      <w:r>
        <w:rPr>
          <w:rFonts w:hint="eastAsia" w:ascii="仿宋_GB2312" w:hAnsi="仿宋" w:eastAsia="仿宋_GB2312" w:cs="宋体"/>
          <w:color w:val="auto"/>
          <w:kern w:val="0"/>
          <w:sz w:val="32"/>
          <w:szCs w:val="32"/>
        </w:rPr>
        <w:t>为准），评审中心负责办理委托评审费用结算，经三明市财政局审批后通过银行转账付费。</w:t>
      </w:r>
      <w:r>
        <w:rPr>
          <w:rFonts w:hint="eastAsia" w:ascii="仿宋_GB2312" w:hAnsi="仿宋" w:eastAsia="仿宋_GB2312" w:cs="宋体"/>
          <w:color w:val="auto"/>
          <w:kern w:val="0"/>
          <w:sz w:val="32"/>
          <w:szCs w:val="32"/>
          <w:lang w:eastAsia="zh-CN"/>
        </w:rPr>
        <w:t>中介</w:t>
      </w:r>
      <w:r>
        <w:rPr>
          <w:rFonts w:hint="eastAsia" w:ascii="仿宋_GB2312" w:hAnsi="仿宋" w:eastAsia="仿宋_GB2312" w:cs="宋体"/>
          <w:color w:val="auto"/>
          <w:kern w:val="0"/>
          <w:sz w:val="32"/>
          <w:szCs w:val="32"/>
        </w:rPr>
        <w:t>机构申领委托评审费用时应提供正式发票。</w:t>
      </w:r>
    </w:p>
    <w:p>
      <w:pPr>
        <w:keepNext w:val="0"/>
        <w:keepLines w:val="0"/>
        <w:pageBreakBefore w:val="0"/>
        <w:kinsoku/>
        <w:wordWrap/>
        <w:overflowPunct/>
        <w:topLinePunct w:val="0"/>
        <w:autoSpaceDE/>
        <w:autoSpaceDN/>
        <w:bidi w:val="0"/>
        <w:adjustRightInd w:val="0"/>
        <w:snapToGrid w:val="0"/>
        <w:spacing w:beforeLines="0" w:afterLines="0" w:line="0" w:lineRule="atLeast"/>
        <w:ind w:firstLine="636" w:firstLineChars="200"/>
        <w:textAlignment w:val="auto"/>
        <w:rPr>
          <w:rFonts w:hint="eastAsia" w:ascii="仿宋_GB2312" w:eastAsia="仿宋_GB2312" w:cs="宋体"/>
          <w:color w:val="auto"/>
          <w:kern w:val="0"/>
          <w:sz w:val="32"/>
          <w:szCs w:val="32"/>
          <w:highlight w:val="none"/>
        </w:rPr>
      </w:pPr>
    </w:p>
    <w:p>
      <w:pPr>
        <w:keepNext w:val="0"/>
        <w:keepLines w:val="0"/>
        <w:pageBreakBefore w:val="0"/>
        <w:widowControl/>
        <w:kinsoku/>
        <w:wordWrap/>
        <w:overflowPunct/>
        <w:topLinePunct w:val="0"/>
        <w:autoSpaceDE/>
        <w:autoSpaceDN/>
        <w:bidi w:val="0"/>
        <w:adjustRightInd w:val="0"/>
        <w:snapToGrid w:val="0"/>
        <w:spacing w:before="313" w:beforeLines="100" w:after="313" w:afterLines="100" w:line="0" w:lineRule="atLeast"/>
        <w:ind w:firstLine="0" w:firstLineChars="0"/>
        <w:jc w:val="center"/>
        <w:textAlignment w:val="auto"/>
        <w:rPr>
          <w:rFonts w:hint="eastAsia" w:ascii="黑体" w:hAnsi="黑体" w:eastAsia="黑体"/>
          <w:b w:val="0"/>
          <w:bCs/>
          <w:color w:val="auto"/>
          <w:sz w:val="32"/>
          <w:highlight w:val="none"/>
          <w:lang w:eastAsia="zh-CN"/>
        </w:rPr>
      </w:pPr>
      <w:r>
        <w:rPr>
          <w:rFonts w:hint="eastAsia" w:ascii="黑体" w:hAnsi="黑体" w:eastAsia="黑体"/>
          <w:b w:val="0"/>
          <w:bCs/>
          <w:color w:val="auto"/>
          <w:sz w:val="32"/>
          <w:highlight w:val="none"/>
        </w:rPr>
        <w:t>第</w:t>
      </w:r>
      <w:r>
        <w:rPr>
          <w:rFonts w:hint="eastAsia" w:ascii="黑体" w:hAnsi="黑体" w:eastAsia="黑体"/>
          <w:b w:val="0"/>
          <w:bCs/>
          <w:color w:val="auto"/>
          <w:sz w:val="32"/>
          <w:highlight w:val="none"/>
          <w:lang w:eastAsia="zh-CN"/>
        </w:rPr>
        <w:t>四</w:t>
      </w:r>
      <w:r>
        <w:rPr>
          <w:rFonts w:hint="eastAsia" w:ascii="黑体" w:hAnsi="黑体" w:eastAsia="黑体"/>
          <w:b w:val="0"/>
          <w:bCs/>
          <w:color w:val="auto"/>
          <w:sz w:val="32"/>
          <w:highlight w:val="none"/>
        </w:rPr>
        <w:t xml:space="preserve">章  </w:t>
      </w:r>
      <w:r>
        <w:rPr>
          <w:rFonts w:hint="eastAsia" w:ascii="黑体" w:hAnsi="黑体" w:eastAsia="黑体"/>
          <w:b w:val="0"/>
          <w:bCs/>
          <w:color w:val="auto"/>
          <w:sz w:val="32"/>
          <w:highlight w:val="none"/>
          <w:lang w:eastAsia="zh-CN"/>
        </w:rPr>
        <w:t>中介机构管理</w:t>
      </w:r>
    </w:p>
    <w:p>
      <w:pPr>
        <w:keepNext w:val="0"/>
        <w:keepLines w:val="0"/>
        <w:pageBreakBefore w:val="0"/>
        <w:kinsoku/>
        <w:wordWrap/>
        <w:overflowPunct/>
        <w:topLinePunct w:val="0"/>
        <w:autoSpaceDE/>
        <w:autoSpaceDN/>
        <w:bidi w:val="0"/>
        <w:adjustRightInd w:val="0"/>
        <w:snapToGrid w:val="0"/>
        <w:spacing w:beforeLines="0" w:afterLines="0" w:line="0" w:lineRule="atLeast"/>
        <w:ind w:firstLine="636" w:firstLineChars="200"/>
        <w:textAlignment w:val="auto"/>
        <w:rPr>
          <w:rFonts w:hint="default" w:ascii="仿宋_GB2312" w:hAnsi="仿宋" w:eastAsia="仿宋_GB2312" w:cs="宋体"/>
          <w:color w:val="auto"/>
          <w:kern w:val="0"/>
          <w:sz w:val="32"/>
          <w:szCs w:val="32"/>
          <w:highlight w:val="none"/>
          <w:u w:val="none"/>
          <w:lang w:val="en-US" w:eastAsia="zh-CN"/>
        </w:rPr>
      </w:pPr>
      <w:r>
        <w:rPr>
          <w:rFonts w:hint="eastAsia" w:ascii="黑体" w:hAnsi="黑体" w:eastAsia="黑体" w:cs="黑体"/>
          <w:b w:val="0"/>
          <w:bCs/>
          <w:color w:val="auto"/>
          <w:kern w:val="0"/>
          <w:sz w:val="32"/>
          <w:szCs w:val="32"/>
          <w:highlight w:val="none"/>
        </w:rPr>
        <w:t>第</w:t>
      </w:r>
      <w:r>
        <w:rPr>
          <w:rFonts w:hint="eastAsia" w:ascii="黑体" w:hAnsi="黑体" w:eastAsia="黑体" w:cs="黑体"/>
          <w:b w:val="0"/>
          <w:bCs/>
          <w:color w:val="auto"/>
          <w:kern w:val="0"/>
          <w:sz w:val="32"/>
          <w:szCs w:val="32"/>
          <w:highlight w:val="none"/>
          <w:lang w:eastAsia="zh-CN"/>
        </w:rPr>
        <w:t>十一</w:t>
      </w:r>
      <w:r>
        <w:rPr>
          <w:rFonts w:hint="eastAsia" w:ascii="黑体" w:hAnsi="黑体" w:eastAsia="黑体" w:cs="黑体"/>
          <w:b w:val="0"/>
          <w:bCs/>
          <w:color w:val="auto"/>
          <w:kern w:val="0"/>
          <w:sz w:val="32"/>
          <w:szCs w:val="32"/>
          <w:highlight w:val="none"/>
        </w:rPr>
        <w:t>条</w:t>
      </w:r>
      <w:r>
        <w:rPr>
          <w:rFonts w:hint="eastAsia" w:ascii="仿宋_GB2312" w:hAnsi="仿宋_GB2312" w:eastAsia="仿宋_GB2312" w:cs="仿宋_GB2312"/>
          <w:b/>
          <w:color w:val="auto"/>
          <w:sz w:val="32"/>
          <w:szCs w:val="32"/>
          <w:highlight w:val="none"/>
        </w:rPr>
        <w:t xml:space="preserve"> </w:t>
      </w:r>
      <w:r>
        <w:rPr>
          <w:rFonts w:hint="eastAsia" w:ascii="仿宋_GB2312" w:hAnsi="仿宋_GB2312" w:eastAsia="仿宋_GB2312" w:cs="仿宋_GB2312"/>
          <w:b/>
          <w:color w:val="auto"/>
          <w:sz w:val="32"/>
          <w:szCs w:val="32"/>
          <w:highlight w:val="none"/>
          <w:lang w:val="en-US" w:eastAsia="zh-CN"/>
        </w:rPr>
        <w:t xml:space="preserve"> </w:t>
      </w:r>
      <w:r>
        <w:rPr>
          <w:rFonts w:hint="eastAsia" w:ascii="仿宋_GB2312" w:hAnsi="仿宋" w:eastAsia="仿宋_GB2312" w:cs="宋体"/>
          <w:color w:val="auto"/>
          <w:kern w:val="0"/>
          <w:sz w:val="32"/>
          <w:szCs w:val="32"/>
          <w:highlight w:val="none"/>
          <w:u w:val="none"/>
          <w:lang w:val="en-US" w:eastAsia="zh-CN"/>
        </w:rPr>
        <w:t>中介机构在接受评审项目委托前，应根据自身的资质条件、以往业绩，以及能够配备的人员的专业胜任能力、时间要求、成果质量要求、项目风险等方面做出是否承接的判断，并不得以上述理由中止合同。</w:t>
      </w:r>
    </w:p>
    <w:p>
      <w:pPr>
        <w:keepNext w:val="0"/>
        <w:keepLines w:val="0"/>
        <w:pageBreakBefore w:val="0"/>
        <w:kinsoku/>
        <w:wordWrap/>
        <w:overflowPunct/>
        <w:topLinePunct w:val="0"/>
        <w:autoSpaceDE/>
        <w:autoSpaceDN/>
        <w:bidi w:val="0"/>
        <w:adjustRightInd w:val="0"/>
        <w:snapToGrid w:val="0"/>
        <w:spacing w:beforeLines="0" w:afterLines="0" w:line="0" w:lineRule="atLeast"/>
        <w:ind w:firstLine="636" w:firstLineChars="200"/>
        <w:textAlignment w:val="auto"/>
        <w:rPr>
          <w:rFonts w:hint="eastAsia" w:ascii="仿宋_GB2312" w:hAnsi="仿宋" w:eastAsia="仿宋_GB2312" w:cs="宋体"/>
          <w:color w:val="auto"/>
          <w:kern w:val="0"/>
          <w:sz w:val="32"/>
          <w:szCs w:val="32"/>
          <w:highlight w:val="none"/>
          <w:u w:val="none"/>
          <w:lang w:val="en-US" w:eastAsia="zh-CN"/>
        </w:rPr>
      </w:pPr>
      <w:r>
        <w:rPr>
          <w:rFonts w:hint="eastAsia" w:ascii="黑体" w:hAnsi="黑体" w:eastAsia="黑体" w:cs="黑体"/>
          <w:b w:val="0"/>
          <w:bCs/>
          <w:color w:val="auto"/>
          <w:kern w:val="0"/>
          <w:sz w:val="32"/>
          <w:szCs w:val="32"/>
          <w:highlight w:val="none"/>
          <w:lang w:val="en-US" w:eastAsia="zh-CN"/>
        </w:rPr>
        <w:t>第十二条</w:t>
      </w:r>
      <w:r>
        <w:rPr>
          <w:rFonts w:hint="eastAsia" w:ascii="仿宋_GB2312" w:hAnsi="仿宋" w:eastAsia="仿宋_GB2312" w:cs="宋体"/>
          <w:color w:val="auto"/>
          <w:kern w:val="0"/>
          <w:sz w:val="32"/>
          <w:szCs w:val="32"/>
          <w:highlight w:val="none"/>
          <w:u w:val="none"/>
          <w:lang w:val="en-US" w:eastAsia="zh-CN"/>
        </w:rPr>
        <w:t xml:space="preserve">  接受委托的中介机构必须遵守国家有关法律、法规，遵循合法、公正、客观的原则独立完成评审任务，并在合同约定的时间内向三明市财政局出具评审报告，对所出具的评审报告的真实性、完整性、合法性和执业质量负法律责任。</w:t>
      </w:r>
    </w:p>
    <w:p>
      <w:pPr>
        <w:keepNext w:val="0"/>
        <w:keepLines w:val="0"/>
        <w:pageBreakBefore w:val="0"/>
        <w:kinsoku/>
        <w:wordWrap/>
        <w:overflowPunct/>
        <w:topLinePunct w:val="0"/>
        <w:autoSpaceDE/>
        <w:autoSpaceDN/>
        <w:bidi w:val="0"/>
        <w:adjustRightInd w:val="0"/>
        <w:snapToGrid w:val="0"/>
        <w:spacing w:beforeLines="0" w:afterLines="0" w:line="0" w:lineRule="atLeast"/>
        <w:ind w:firstLine="636" w:firstLineChars="200"/>
        <w:textAlignment w:val="auto"/>
        <w:rPr>
          <w:rFonts w:hint="eastAsia" w:ascii="仿宋_GB2312" w:hAnsi="仿宋" w:eastAsia="仿宋_GB2312" w:cs="宋体"/>
          <w:color w:val="auto"/>
          <w:kern w:val="0"/>
          <w:sz w:val="32"/>
          <w:szCs w:val="32"/>
          <w:highlight w:val="none"/>
          <w:u w:val="none"/>
          <w:lang w:val="en-US" w:eastAsia="zh-CN"/>
        </w:rPr>
      </w:pPr>
      <w:r>
        <w:rPr>
          <w:rFonts w:hint="eastAsia" w:ascii="黑体" w:hAnsi="黑体" w:eastAsia="黑体" w:cs="黑体"/>
          <w:b w:val="0"/>
          <w:bCs/>
          <w:color w:val="auto"/>
          <w:kern w:val="0"/>
          <w:sz w:val="32"/>
          <w:szCs w:val="32"/>
          <w:highlight w:val="none"/>
          <w:lang w:val="en-US" w:eastAsia="zh-CN"/>
        </w:rPr>
        <w:t>第十三条</w:t>
      </w:r>
      <w:r>
        <w:rPr>
          <w:rFonts w:hint="eastAsia" w:ascii="仿宋_GB2312" w:hAnsi="仿宋" w:eastAsia="仿宋_GB2312" w:cs="宋体"/>
          <w:color w:val="auto"/>
          <w:kern w:val="0"/>
          <w:sz w:val="32"/>
          <w:szCs w:val="32"/>
          <w:highlight w:val="none"/>
          <w:u w:val="none"/>
          <w:lang w:val="en-US" w:eastAsia="zh-CN"/>
        </w:rPr>
        <w:t xml:space="preserve">  中介机构不得以任何形式将受托事项再委托给其他单位。对有特殊技术要求的项目，确需聘请有关专家共同完成委托任务的，须事先征得评审中心同意。涉及国家机密的项目，不得使用非本单位的聘用人员。</w:t>
      </w:r>
    </w:p>
    <w:p>
      <w:pPr>
        <w:keepNext w:val="0"/>
        <w:keepLines w:val="0"/>
        <w:pageBreakBefore w:val="0"/>
        <w:kinsoku/>
        <w:wordWrap/>
        <w:overflowPunct/>
        <w:topLinePunct w:val="0"/>
        <w:autoSpaceDE/>
        <w:autoSpaceDN/>
        <w:bidi w:val="0"/>
        <w:adjustRightInd w:val="0"/>
        <w:snapToGrid w:val="0"/>
        <w:spacing w:beforeLines="0" w:afterLines="0" w:line="0" w:lineRule="atLeast"/>
        <w:ind w:firstLine="636"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b w:val="0"/>
          <w:bCs/>
          <w:color w:val="auto"/>
          <w:kern w:val="0"/>
          <w:sz w:val="32"/>
          <w:szCs w:val="32"/>
          <w:highlight w:val="none"/>
          <w:lang w:val="en-US" w:eastAsia="zh-CN"/>
        </w:rPr>
        <w:t>第十四条</w:t>
      </w:r>
      <w:r>
        <w:rPr>
          <w:rFonts w:hint="eastAsia" w:ascii="仿宋_GB2312" w:hAnsi="仿宋" w:eastAsia="仿宋_GB2312" w:cs="宋体"/>
          <w:color w:val="auto"/>
          <w:kern w:val="0"/>
          <w:sz w:val="32"/>
          <w:szCs w:val="32"/>
          <w:highlight w:val="none"/>
          <w:u w:val="none"/>
          <w:lang w:val="en-US" w:eastAsia="zh-CN"/>
        </w:rPr>
        <w:t xml:space="preserve">  </w:t>
      </w:r>
      <w:r>
        <w:rPr>
          <w:rFonts w:hint="eastAsia" w:ascii="仿宋_GB2312" w:hAnsi="仿宋" w:eastAsia="仿宋_GB2312"/>
          <w:color w:val="auto"/>
          <w:sz w:val="32"/>
          <w:szCs w:val="32"/>
          <w:lang w:eastAsia="zh-CN"/>
        </w:rPr>
        <w:t>中介</w:t>
      </w:r>
      <w:r>
        <w:rPr>
          <w:rFonts w:hint="eastAsia" w:ascii="仿宋_GB2312" w:hAnsi="仿宋" w:eastAsia="仿宋_GB2312"/>
          <w:color w:val="auto"/>
          <w:sz w:val="32"/>
          <w:szCs w:val="32"/>
        </w:rPr>
        <w:t>机构</w:t>
      </w:r>
      <w:r>
        <w:rPr>
          <w:rFonts w:hint="eastAsia" w:ascii="仿宋_GB2312" w:hAnsi="仿宋" w:eastAsia="仿宋_GB2312"/>
          <w:color w:val="auto"/>
          <w:sz w:val="32"/>
          <w:szCs w:val="32"/>
          <w:lang w:eastAsia="zh-CN"/>
        </w:rPr>
        <w:t>应建立相应的质量管理体系，对评审结论和项目评审情况实施三级复核。中介机构</w:t>
      </w:r>
      <w:r>
        <w:rPr>
          <w:rFonts w:hint="eastAsia" w:ascii="仿宋_GB2312" w:hAnsi="仿宋" w:eastAsia="仿宋_GB2312"/>
          <w:color w:val="auto"/>
          <w:sz w:val="32"/>
          <w:szCs w:val="32"/>
        </w:rPr>
        <w:t>提交评审报告初稿，经评审中心复核，</w:t>
      </w:r>
      <w:r>
        <w:rPr>
          <w:rFonts w:hint="eastAsia" w:ascii="仿宋_GB2312" w:hAnsi="仿宋" w:eastAsia="仿宋_GB2312"/>
          <w:color w:val="auto"/>
          <w:sz w:val="32"/>
          <w:szCs w:val="32"/>
          <w:lang w:eastAsia="zh-CN"/>
        </w:rPr>
        <w:t>中介</w:t>
      </w:r>
      <w:r>
        <w:rPr>
          <w:rFonts w:hint="eastAsia" w:ascii="仿宋_GB2312" w:hAnsi="仿宋" w:eastAsia="仿宋_GB2312"/>
          <w:color w:val="auto"/>
          <w:sz w:val="32"/>
          <w:szCs w:val="32"/>
        </w:rPr>
        <w:t>机构按照评审中心复核意见修正后，才可出具正式评审报告。</w:t>
      </w:r>
      <w:r>
        <w:rPr>
          <w:rFonts w:hint="eastAsia" w:ascii="仿宋_GB2312" w:hAnsi="仿宋" w:eastAsia="仿宋_GB2312" w:cs="宋体"/>
          <w:color w:val="auto"/>
          <w:kern w:val="0"/>
          <w:sz w:val="32"/>
          <w:szCs w:val="32"/>
          <w:highlight w:val="none"/>
          <w:u w:val="none"/>
          <w:lang w:val="en-US" w:eastAsia="zh-CN"/>
        </w:rPr>
        <w:t>中介机构对评审结论具有保留意见的权利。</w:t>
      </w:r>
    </w:p>
    <w:p>
      <w:pPr>
        <w:keepNext w:val="0"/>
        <w:keepLines w:val="0"/>
        <w:pageBreakBefore w:val="0"/>
        <w:kinsoku/>
        <w:wordWrap/>
        <w:overflowPunct/>
        <w:topLinePunct w:val="0"/>
        <w:autoSpaceDE/>
        <w:autoSpaceDN/>
        <w:bidi w:val="0"/>
        <w:adjustRightInd w:val="0"/>
        <w:snapToGrid w:val="0"/>
        <w:spacing w:beforeLines="0" w:afterLines="0" w:line="0" w:lineRule="atLeast"/>
        <w:ind w:firstLine="636" w:firstLineChars="200"/>
        <w:textAlignment w:val="auto"/>
        <w:rPr>
          <w:rFonts w:hint="eastAsia" w:ascii="仿宋_GB2312" w:hAnsi="仿宋" w:eastAsia="仿宋_GB2312" w:cs="宋体"/>
          <w:color w:val="auto"/>
          <w:kern w:val="0"/>
          <w:sz w:val="32"/>
          <w:szCs w:val="32"/>
          <w:highlight w:val="none"/>
          <w:u w:val="none"/>
          <w:lang w:val="en-US" w:eastAsia="zh-CN"/>
        </w:rPr>
      </w:pPr>
      <w:r>
        <w:rPr>
          <w:rFonts w:hint="eastAsia" w:ascii="黑体" w:hAnsi="黑体" w:eastAsia="黑体" w:cs="黑体"/>
          <w:b w:val="0"/>
          <w:bCs/>
          <w:color w:val="auto"/>
          <w:kern w:val="0"/>
          <w:sz w:val="32"/>
          <w:szCs w:val="32"/>
          <w:highlight w:val="none"/>
          <w:lang w:val="en-US" w:eastAsia="zh-CN"/>
        </w:rPr>
        <w:t>第十五条</w:t>
      </w:r>
      <w:r>
        <w:rPr>
          <w:rFonts w:hint="eastAsia" w:ascii="仿宋_GB2312" w:hAnsi="仿宋" w:eastAsia="仿宋_GB2312" w:cs="宋体"/>
          <w:color w:val="auto"/>
          <w:kern w:val="0"/>
          <w:sz w:val="32"/>
          <w:szCs w:val="32"/>
          <w:highlight w:val="none"/>
          <w:u w:val="none"/>
          <w:lang w:val="en-US" w:eastAsia="zh-CN"/>
        </w:rPr>
        <w:t xml:space="preserve">  中介机构应严格遵守国家有关廉政、保密方面的规定。在评审过程中发现的问题应及时与评审中心沟通，如有疑问或资料不完整，应及时以书面形式向评审中心项目负责人提出，由项目负责人负责催报，不得自行与建设单位、监理单位、施工单位等联系；如需现场勘查、查账或会商等，应征得评审中心项目负责人同意，并在项目负责人组织下进行。在执业过程中对被委托项目的情况、评审结论及商业秘密等必须严格保密。</w:t>
      </w:r>
    </w:p>
    <w:p>
      <w:pPr>
        <w:keepNext w:val="0"/>
        <w:keepLines w:val="0"/>
        <w:pageBreakBefore w:val="0"/>
        <w:kinsoku/>
        <w:wordWrap/>
        <w:overflowPunct/>
        <w:topLinePunct w:val="0"/>
        <w:autoSpaceDE/>
        <w:autoSpaceDN/>
        <w:bidi w:val="0"/>
        <w:adjustRightInd w:val="0"/>
        <w:snapToGrid w:val="0"/>
        <w:spacing w:beforeLines="0" w:afterLines="0" w:line="0" w:lineRule="atLeast"/>
        <w:ind w:firstLine="636" w:firstLineChars="200"/>
        <w:textAlignment w:val="auto"/>
        <w:rPr>
          <w:rFonts w:hint="eastAsia" w:ascii="仿宋_GB2312" w:hAnsi="仿宋" w:eastAsia="仿宋_GB2312" w:cs="宋体"/>
          <w:color w:val="auto"/>
          <w:kern w:val="0"/>
          <w:sz w:val="32"/>
          <w:szCs w:val="32"/>
          <w:highlight w:val="none"/>
          <w:u w:val="none"/>
          <w:lang w:val="en-US" w:eastAsia="zh-CN"/>
        </w:rPr>
      </w:pPr>
      <w:r>
        <w:rPr>
          <w:rFonts w:hint="eastAsia" w:ascii="黑体" w:hAnsi="黑体" w:eastAsia="黑体" w:cs="黑体"/>
          <w:b w:val="0"/>
          <w:bCs/>
          <w:color w:val="auto"/>
          <w:kern w:val="0"/>
          <w:sz w:val="32"/>
          <w:szCs w:val="32"/>
          <w:highlight w:val="none"/>
          <w:lang w:val="en-US" w:eastAsia="zh-CN"/>
        </w:rPr>
        <w:t>第十六条</w:t>
      </w:r>
      <w:r>
        <w:rPr>
          <w:rFonts w:hint="eastAsia" w:ascii="仿宋_GB2312" w:hAnsi="仿宋" w:eastAsia="仿宋_GB2312" w:cs="宋体"/>
          <w:color w:val="auto"/>
          <w:kern w:val="0"/>
          <w:sz w:val="32"/>
          <w:szCs w:val="32"/>
          <w:highlight w:val="none"/>
          <w:u w:val="none"/>
          <w:lang w:val="en-US" w:eastAsia="zh-CN"/>
        </w:rPr>
        <w:t xml:space="preserve">  中介机构应依照国家和行业档案管理的有关规定妥善保管项目评审资料，及时收集、整理评审工作底稿等，并与项目评审报告和评审中心移交的评审资料归档保存。</w:t>
      </w:r>
    </w:p>
    <w:p>
      <w:pPr>
        <w:keepNext w:val="0"/>
        <w:keepLines w:val="0"/>
        <w:pageBreakBefore w:val="0"/>
        <w:kinsoku/>
        <w:wordWrap/>
        <w:overflowPunct/>
        <w:topLinePunct w:val="0"/>
        <w:autoSpaceDE/>
        <w:autoSpaceDN/>
        <w:bidi w:val="0"/>
        <w:adjustRightInd w:val="0"/>
        <w:snapToGrid w:val="0"/>
        <w:spacing w:beforeLines="0" w:afterLines="0" w:line="0" w:lineRule="atLeast"/>
        <w:ind w:firstLine="636" w:firstLineChars="200"/>
        <w:textAlignment w:val="auto"/>
        <w:rPr>
          <w:rFonts w:hint="eastAsia" w:ascii="仿宋_GB2312" w:hAnsi="仿宋" w:eastAsia="仿宋_GB2312" w:cs="宋体"/>
          <w:color w:val="auto"/>
          <w:kern w:val="0"/>
          <w:sz w:val="32"/>
          <w:szCs w:val="32"/>
          <w:highlight w:val="none"/>
          <w:u w:val="none"/>
          <w:lang w:val="en-US" w:eastAsia="zh-CN"/>
        </w:rPr>
      </w:pPr>
      <w:r>
        <w:rPr>
          <w:rFonts w:hint="eastAsia" w:ascii="黑体" w:hAnsi="黑体" w:eastAsia="黑体" w:cs="黑体"/>
          <w:b w:val="0"/>
          <w:bCs/>
          <w:color w:val="auto"/>
          <w:kern w:val="0"/>
          <w:sz w:val="32"/>
          <w:szCs w:val="32"/>
          <w:highlight w:val="none"/>
          <w:lang w:val="en-US" w:eastAsia="zh-CN"/>
        </w:rPr>
        <w:t xml:space="preserve">第十七条 </w:t>
      </w:r>
      <w:r>
        <w:rPr>
          <w:rFonts w:hint="eastAsia" w:ascii="仿宋_GB2312" w:hAnsi="仿宋" w:eastAsia="仿宋_GB2312" w:cs="宋体"/>
          <w:color w:val="auto"/>
          <w:kern w:val="0"/>
          <w:sz w:val="32"/>
          <w:szCs w:val="32"/>
          <w:highlight w:val="none"/>
          <w:u w:val="none"/>
          <w:lang w:val="en-US" w:eastAsia="zh-CN"/>
        </w:rPr>
        <w:t xml:space="preserve"> 中介机构应将参与财政投资评审业务服务的人员报评审中心备案，备案人员应保持相对稳定，接受评审项目委托时应根据项目专业特点从备案人员中选派相应的专业评审人员参与评审。若有人员变动，须向评审中心办理人员变更登记后方能参与项目评审。备案人员变更登记后仍应满足组建项目评审组人员基本配置需要。</w:t>
      </w:r>
    </w:p>
    <w:p>
      <w:pPr>
        <w:keepNext w:val="0"/>
        <w:keepLines w:val="0"/>
        <w:pageBreakBefore w:val="0"/>
        <w:kinsoku/>
        <w:wordWrap/>
        <w:overflowPunct/>
        <w:topLinePunct w:val="0"/>
        <w:autoSpaceDE/>
        <w:autoSpaceDN/>
        <w:bidi w:val="0"/>
        <w:adjustRightInd w:val="0"/>
        <w:snapToGrid w:val="0"/>
        <w:spacing w:beforeLines="0" w:afterLines="0" w:line="0" w:lineRule="atLeast"/>
        <w:ind w:firstLine="636" w:firstLineChars="200"/>
        <w:textAlignment w:val="auto"/>
        <w:rPr>
          <w:rFonts w:hint="eastAsia" w:ascii="仿宋_GB2312" w:hAnsi="仿宋" w:eastAsia="仿宋_GB2312" w:cs="宋体"/>
          <w:color w:val="auto"/>
          <w:kern w:val="0"/>
          <w:sz w:val="32"/>
          <w:szCs w:val="32"/>
          <w:highlight w:val="none"/>
          <w:u w:val="none"/>
          <w:lang w:val="en-US" w:eastAsia="zh-CN"/>
        </w:rPr>
      </w:pPr>
      <w:r>
        <w:rPr>
          <w:rFonts w:hint="eastAsia" w:ascii="黑体" w:hAnsi="黑体" w:eastAsia="黑体" w:cs="黑体"/>
          <w:b w:val="0"/>
          <w:bCs/>
          <w:color w:val="auto"/>
          <w:kern w:val="0"/>
          <w:sz w:val="32"/>
          <w:szCs w:val="32"/>
          <w:highlight w:val="none"/>
          <w:lang w:val="en-US" w:eastAsia="zh-CN"/>
        </w:rPr>
        <w:t>第十八条</w:t>
      </w:r>
      <w:r>
        <w:rPr>
          <w:rFonts w:hint="eastAsia" w:ascii="仿宋_GB2312" w:hAnsi="仿宋" w:eastAsia="仿宋_GB2312" w:cs="宋体"/>
          <w:color w:val="auto"/>
          <w:kern w:val="0"/>
          <w:sz w:val="32"/>
          <w:szCs w:val="32"/>
          <w:highlight w:val="none"/>
          <w:u w:val="none"/>
          <w:lang w:val="en-US" w:eastAsia="zh-CN"/>
        </w:rPr>
        <w:t xml:space="preserve">  从事项目评审的执业人员应遵守国家法律、法规和执业规范，保守评审秘密和项目建设单位的商业秘密，且近年来没有违法或违规执业的行为，中介机构对其从业人员的廉洁自律情况负责。不得利用受托权利为单位或个人谋取不正当利益。</w:t>
      </w:r>
    </w:p>
    <w:p>
      <w:pPr>
        <w:keepNext w:val="0"/>
        <w:keepLines w:val="0"/>
        <w:pageBreakBefore w:val="0"/>
        <w:kinsoku/>
        <w:wordWrap/>
        <w:overflowPunct/>
        <w:topLinePunct w:val="0"/>
        <w:autoSpaceDE/>
        <w:autoSpaceDN/>
        <w:bidi w:val="0"/>
        <w:adjustRightInd w:val="0"/>
        <w:snapToGrid w:val="0"/>
        <w:spacing w:beforeLines="0" w:afterLines="0" w:line="0" w:lineRule="atLeast"/>
        <w:ind w:firstLine="636" w:firstLineChars="200"/>
        <w:textAlignment w:val="auto"/>
        <w:rPr>
          <w:rFonts w:hint="eastAsia" w:ascii="仿宋_GB2312" w:hAnsi="仿宋" w:eastAsia="仿宋_GB2312" w:cs="宋体"/>
          <w:color w:val="auto"/>
          <w:kern w:val="0"/>
          <w:sz w:val="32"/>
          <w:szCs w:val="32"/>
          <w:highlight w:val="none"/>
          <w:u w:val="none"/>
          <w:lang w:val="en-US" w:eastAsia="zh-CN"/>
        </w:rPr>
      </w:pPr>
      <w:r>
        <w:rPr>
          <w:rFonts w:hint="eastAsia" w:ascii="黑体" w:hAnsi="黑体" w:eastAsia="黑体" w:cs="黑体"/>
          <w:b w:val="0"/>
          <w:bCs/>
          <w:color w:val="auto"/>
          <w:kern w:val="0"/>
          <w:sz w:val="32"/>
          <w:szCs w:val="32"/>
          <w:highlight w:val="none"/>
          <w:lang w:val="en-US" w:eastAsia="zh-CN"/>
        </w:rPr>
        <w:t xml:space="preserve">第十九条 </w:t>
      </w:r>
      <w:r>
        <w:rPr>
          <w:rFonts w:hint="eastAsia" w:ascii="仿宋_GB2312" w:hAnsi="仿宋" w:eastAsia="仿宋_GB2312" w:cs="宋体"/>
          <w:color w:val="auto"/>
          <w:kern w:val="0"/>
          <w:sz w:val="32"/>
          <w:szCs w:val="32"/>
          <w:highlight w:val="none"/>
          <w:u w:val="none"/>
          <w:lang w:val="en-US" w:eastAsia="zh-CN"/>
        </w:rPr>
        <w:t xml:space="preserve"> 中介机构发生以下事项，应及时以书面形式通知评审中心: </w:t>
      </w:r>
    </w:p>
    <w:p>
      <w:pPr>
        <w:keepNext w:val="0"/>
        <w:keepLines w:val="0"/>
        <w:pageBreakBefore w:val="0"/>
        <w:kinsoku/>
        <w:wordWrap/>
        <w:overflowPunct/>
        <w:topLinePunct w:val="0"/>
        <w:autoSpaceDE/>
        <w:autoSpaceDN/>
        <w:bidi w:val="0"/>
        <w:adjustRightInd w:val="0"/>
        <w:snapToGrid w:val="0"/>
        <w:spacing w:beforeLines="0" w:afterLines="0" w:line="0" w:lineRule="atLeast"/>
        <w:ind w:firstLine="636" w:firstLineChars="200"/>
        <w:textAlignment w:val="auto"/>
        <w:rPr>
          <w:rFonts w:hint="eastAsia" w:ascii="仿宋_GB2312" w:hAnsi="仿宋" w:eastAsia="仿宋_GB2312" w:cs="宋体"/>
          <w:color w:val="auto"/>
          <w:kern w:val="0"/>
          <w:sz w:val="32"/>
          <w:szCs w:val="32"/>
          <w:highlight w:val="none"/>
          <w:u w:val="none"/>
          <w:lang w:val="en-US" w:eastAsia="zh-CN"/>
        </w:rPr>
      </w:pPr>
      <w:r>
        <w:rPr>
          <w:rFonts w:hint="eastAsia" w:ascii="仿宋_GB2312" w:hAnsi="仿宋" w:eastAsia="仿宋_GB2312" w:cs="宋体"/>
          <w:color w:val="auto"/>
          <w:kern w:val="0"/>
          <w:sz w:val="32"/>
          <w:szCs w:val="32"/>
          <w:highlight w:val="none"/>
          <w:u w:val="none"/>
          <w:lang w:val="en-US" w:eastAsia="zh-CN"/>
        </w:rPr>
        <w:t xml:space="preserve">（一）机构合并、分立、撤销； </w:t>
      </w:r>
    </w:p>
    <w:p>
      <w:pPr>
        <w:keepNext w:val="0"/>
        <w:keepLines w:val="0"/>
        <w:pageBreakBefore w:val="0"/>
        <w:kinsoku/>
        <w:wordWrap/>
        <w:overflowPunct/>
        <w:topLinePunct w:val="0"/>
        <w:autoSpaceDE/>
        <w:autoSpaceDN/>
        <w:bidi w:val="0"/>
        <w:adjustRightInd w:val="0"/>
        <w:snapToGrid w:val="0"/>
        <w:spacing w:beforeLines="0" w:afterLines="0" w:line="0" w:lineRule="atLeast"/>
        <w:ind w:firstLine="636" w:firstLineChars="200"/>
        <w:textAlignment w:val="auto"/>
        <w:rPr>
          <w:rFonts w:hint="eastAsia" w:ascii="仿宋_GB2312" w:hAnsi="仿宋" w:eastAsia="仿宋_GB2312" w:cs="宋体"/>
          <w:color w:val="auto"/>
          <w:kern w:val="0"/>
          <w:sz w:val="32"/>
          <w:szCs w:val="32"/>
          <w:highlight w:val="none"/>
          <w:u w:val="none"/>
          <w:lang w:val="en-US" w:eastAsia="zh-CN"/>
        </w:rPr>
      </w:pPr>
      <w:r>
        <w:rPr>
          <w:rFonts w:hint="eastAsia" w:ascii="仿宋_GB2312" w:hAnsi="仿宋" w:eastAsia="仿宋_GB2312" w:cs="宋体"/>
          <w:color w:val="auto"/>
          <w:kern w:val="0"/>
          <w:sz w:val="32"/>
          <w:szCs w:val="32"/>
          <w:highlight w:val="none"/>
          <w:u w:val="none"/>
          <w:lang w:val="en-US" w:eastAsia="zh-CN"/>
        </w:rPr>
        <w:t>（二）法定代表人更换、注册资本变更；</w:t>
      </w:r>
    </w:p>
    <w:p>
      <w:pPr>
        <w:keepNext w:val="0"/>
        <w:keepLines w:val="0"/>
        <w:pageBreakBefore w:val="0"/>
        <w:kinsoku/>
        <w:wordWrap/>
        <w:overflowPunct/>
        <w:topLinePunct w:val="0"/>
        <w:autoSpaceDE/>
        <w:autoSpaceDN/>
        <w:bidi w:val="0"/>
        <w:adjustRightInd w:val="0"/>
        <w:snapToGrid w:val="0"/>
        <w:spacing w:beforeLines="0" w:afterLines="0" w:line="0" w:lineRule="atLeast"/>
        <w:ind w:firstLine="636" w:firstLineChars="200"/>
        <w:textAlignment w:val="auto"/>
        <w:rPr>
          <w:rFonts w:hint="eastAsia" w:ascii="仿宋_GB2312" w:hAnsi="仿宋" w:eastAsia="仿宋_GB2312" w:cs="宋体"/>
          <w:color w:val="auto"/>
          <w:kern w:val="0"/>
          <w:sz w:val="32"/>
          <w:szCs w:val="32"/>
          <w:highlight w:val="none"/>
          <w:u w:val="none"/>
          <w:lang w:val="en-US" w:eastAsia="zh-CN"/>
        </w:rPr>
      </w:pPr>
      <w:r>
        <w:rPr>
          <w:rFonts w:hint="eastAsia" w:ascii="仿宋_GB2312" w:hAnsi="仿宋" w:eastAsia="仿宋_GB2312" w:cs="宋体"/>
          <w:color w:val="auto"/>
          <w:kern w:val="0"/>
          <w:sz w:val="32"/>
          <w:szCs w:val="32"/>
          <w:highlight w:val="none"/>
          <w:u w:val="none"/>
          <w:lang w:val="en-US" w:eastAsia="zh-CN"/>
        </w:rPr>
        <w:t>（三）经营范围、从业资质和执业人员发生变动；</w:t>
      </w:r>
    </w:p>
    <w:p>
      <w:pPr>
        <w:keepNext w:val="0"/>
        <w:keepLines w:val="0"/>
        <w:pageBreakBefore w:val="0"/>
        <w:kinsoku/>
        <w:wordWrap/>
        <w:overflowPunct/>
        <w:topLinePunct w:val="0"/>
        <w:autoSpaceDE/>
        <w:autoSpaceDN/>
        <w:bidi w:val="0"/>
        <w:adjustRightInd w:val="0"/>
        <w:snapToGrid w:val="0"/>
        <w:spacing w:beforeLines="0" w:afterLines="0" w:line="0" w:lineRule="atLeast"/>
        <w:ind w:firstLine="636" w:firstLineChars="200"/>
        <w:textAlignment w:val="auto"/>
        <w:rPr>
          <w:rFonts w:hint="eastAsia" w:ascii="仿宋_GB2312" w:hAnsi="仿宋" w:eastAsia="仿宋_GB2312" w:cs="宋体"/>
          <w:color w:val="auto"/>
          <w:kern w:val="0"/>
          <w:sz w:val="32"/>
          <w:szCs w:val="32"/>
          <w:highlight w:val="none"/>
          <w:u w:val="none"/>
          <w:lang w:val="en-US" w:eastAsia="zh-CN"/>
        </w:rPr>
      </w:pPr>
      <w:r>
        <w:rPr>
          <w:rFonts w:hint="eastAsia" w:ascii="仿宋_GB2312" w:hAnsi="仿宋" w:eastAsia="仿宋_GB2312" w:cs="宋体"/>
          <w:color w:val="auto"/>
          <w:kern w:val="0"/>
          <w:sz w:val="32"/>
          <w:szCs w:val="32"/>
          <w:highlight w:val="none"/>
          <w:u w:val="none"/>
          <w:lang w:val="en-US" w:eastAsia="zh-CN"/>
        </w:rPr>
        <w:t xml:space="preserve">（四）办公场所、联系电话发生变化； </w:t>
      </w:r>
    </w:p>
    <w:p>
      <w:pPr>
        <w:keepNext w:val="0"/>
        <w:keepLines w:val="0"/>
        <w:pageBreakBefore w:val="0"/>
        <w:kinsoku/>
        <w:wordWrap/>
        <w:overflowPunct/>
        <w:topLinePunct w:val="0"/>
        <w:autoSpaceDE/>
        <w:autoSpaceDN/>
        <w:bidi w:val="0"/>
        <w:adjustRightInd w:val="0"/>
        <w:snapToGrid w:val="0"/>
        <w:spacing w:beforeLines="0" w:afterLines="0" w:line="0" w:lineRule="atLeast"/>
        <w:ind w:firstLine="636" w:firstLineChars="200"/>
        <w:textAlignment w:val="auto"/>
        <w:rPr>
          <w:rFonts w:hint="eastAsia" w:ascii="仿宋_GB2312" w:hAnsi="仿宋" w:eastAsia="仿宋_GB2312" w:cs="宋体"/>
          <w:color w:val="auto"/>
          <w:kern w:val="0"/>
          <w:sz w:val="32"/>
          <w:szCs w:val="32"/>
          <w:highlight w:val="none"/>
          <w:u w:val="none"/>
          <w:lang w:val="en-US" w:eastAsia="zh-CN"/>
        </w:rPr>
      </w:pPr>
      <w:r>
        <w:rPr>
          <w:rFonts w:hint="eastAsia" w:ascii="仿宋_GB2312" w:hAnsi="仿宋" w:eastAsia="仿宋_GB2312" w:cs="宋体"/>
          <w:color w:val="auto"/>
          <w:kern w:val="0"/>
          <w:sz w:val="32"/>
          <w:szCs w:val="32"/>
          <w:highlight w:val="none"/>
          <w:u w:val="none"/>
          <w:lang w:val="en-US" w:eastAsia="zh-CN"/>
        </w:rPr>
        <w:t xml:space="preserve">（五）受到主管部门或行业协会表彰或处罚； </w:t>
      </w:r>
    </w:p>
    <w:p>
      <w:pPr>
        <w:keepNext w:val="0"/>
        <w:keepLines w:val="0"/>
        <w:pageBreakBefore w:val="0"/>
        <w:kinsoku/>
        <w:wordWrap/>
        <w:overflowPunct/>
        <w:topLinePunct w:val="0"/>
        <w:autoSpaceDE/>
        <w:autoSpaceDN/>
        <w:bidi w:val="0"/>
        <w:adjustRightInd w:val="0"/>
        <w:snapToGrid w:val="0"/>
        <w:spacing w:beforeLines="0" w:afterLines="0" w:line="0" w:lineRule="atLeast"/>
        <w:ind w:firstLine="636" w:firstLineChars="200"/>
        <w:textAlignment w:val="auto"/>
        <w:rPr>
          <w:rFonts w:hint="eastAsia" w:ascii="仿宋_GB2312" w:hAnsi="仿宋" w:eastAsia="仿宋_GB2312" w:cs="宋体"/>
          <w:color w:val="auto"/>
          <w:kern w:val="0"/>
          <w:sz w:val="32"/>
          <w:szCs w:val="32"/>
          <w:highlight w:val="none"/>
          <w:u w:val="none"/>
          <w:lang w:val="en-US" w:eastAsia="zh-CN"/>
        </w:rPr>
      </w:pPr>
      <w:r>
        <w:rPr>
          <w:rFonts w:hint="eastAsia" w:ascii="仿宋_GB2312" w:hAnsi="仿宋" w:eastAsia="仿宋_GB2312" w:cs="宋体"/>
          <w:color w:val="auto"/>
          <w:kern w:val="0"/>
          <w:sz w:val="32"/>
          <w:szCs w:val="32"/>
          <w:highlight w:val="none"/>
          <w:u w:val="none"/>
          <w:lang w:val="en-US" w:eastAsia="zh-CN"/>
        </w:rPr>
        <w:t>（六）发生涉及诉讼等特殊事项。</w:t>
      </w:r>
    </w:p>
    <w:p>
      <w:pPr>
        <w:keepNext w:val="0"/>
        <w:keepLines w:val="0"/>
        <w:pageBreakBefore w:val="0"/>
        <w:widowControl/>
        <w:kinsoku/>
        <w:wordWrap/>
        <w:overflowPunct/>
        <w:topLinePunct w:val="0"/>
        <w:autoSpaceDE/>
        <w:autoSpaceDN/>
        <w:bidi w:val="0"/>
        <w:adjustRightInd w:val="0"/>
        <w:snapToGrid w:val="0"/>
        <w:spacing w:beforeLines="0" w:afterLines="0" w:line="0" w:lineRule="atLeast"/>
        <w:ind w:firstLine="636" w:firstLineChars="200"/>
        <w:textAlignment w:val="auto"/>
        <w:rPr>
          <w:rFonts w:hint="default" w:ascii="仿宋_GB2312" w:hAnsi="仿宋" w:eastAsia="仿宋_GB2312"/>
          <w:color w:val="auto"/>
          <w:sz w:val="32"/>
          <w:szCs w:val="32"/>
          <w:highlight w:val="none"/>
          <w:lang w:val="en-US" w:eastAsia="zh-CN"/>
        </w:rPr>
      </w:pPr>
      <w:r>
        <w:rPr>
          <w:rFonts w:hint="eastAsia" w:ascii="黑体" w:hAnsi="黑体" w:eastAsia="黑体" w:cs="黑体"/>
          <w:b w:val="0"/>
          <w:bCs/>
          <w:color w:val="auto"/>
          <w:kern w:val="0"/>
          <w:sz w:val="32"/>
          <w:szCs w:val="32"/>
          <w:highlight w:val="none"/>
          <w:lang w:val="en-US" w:eastAsia="zh-CN"/>
        </w:rPr>
        <w:t xml:space="preserve">第二十条 </w:t>
      </w:r>
      <w:r>
        <w:rPr>
          <w:rFonts w:hint="eastAsia" w:ascii="仿宋_GB2312" w:hAnsi="仿宋" w:eastAsia="仿宋_GB2312" w:cs="宋体"/>
          <w:color w:val="auto"/>
          <w:kern w:val="0"/>
          <w:sz w:val="32"/>
          <w:szCs w:val="32"/>
          <w:highlight w:val="none"/>
          <w:u w:val="none"/>
          <w:lang w:val="en-US" w:eastAsia="zh-CN"/>
        </w:rPr>
        <w:t xml:space="preserve"> </w:t>
      </w:r>
      <w:r>
        <w:rPr>
          <w:rFonts w:hint="eastAsia" w:ascii="仿宋_GB2312" w:hAnsi="仿宋_GB2312" w:eastAsia="仿宋_GB2312" w:cs="仿宋_GB2312"/>
          <w:strike w:val="0"/>
          <w:color w:val="auto"/>
          <w:sz w:val="32"/>
          <w:szCs w:val="32"/>
          <w:highlight w:val="none"/>
          <w:lang w:eastAsia="zh-CN"/>
        </w:rPr>
        <w:t>根据评审中心的业务考核管理情况，对</w:t>
      </w:r>
      <w:r>
        <w:rPr>
          <w:rFonts w:hint="eastAsia" w:ascii="仿宋_GB2312" w:hAnsi="仿宋" w:eastAsia="仿宋_GB2312" w:cs="宋体"/>
          <w:color w:val="auto"/>
          <w:kern w:val="0"/>
          <w:sz w:val="32"/>
          <w:szCs w:val="32"/>
          <w:highlight w:val="none"/>
          <w:u w:val="none"/>
          <w:lang w:val="en-US" w:eastAsia="zh-CN"/>
        </w:rPr>
        <w:t>中介机构</w:t>
      </w:r>
      <w:r>
        <w:rPr>
          <w:rFonts w:hint="eastAsia" w:ascii="仿宋_GB2312" w:hAnsi="仿宋_GB2312" w:eastAsia="仿宋_GB2312" w:cs="仿宋_GB2312"/>
          <w:strike w:val="0"/>
          <w:color w:val="auto"/>
          <w:sz w:val="32"/>
          <w:szCs w:val="32"/>
          <w:highlight w:val="none"/>
          <w:lang w:eastAsia="zh-CN"/>
        </w:rPr>
        <w:t>实行动态管理。</w:t>
      </w:r>
    </w:p>
    <w:p>
      <w:pPr>
        <w:keepNext w:val="0"/>
        <w:keepLines w:val="0"/>
        <w:pageBreakBefore w:val="0"/>
        <w:kinsoku/>
        <w:wordWrap/>
        <w:overflowPunct/>
        <w:topLinePunct w:val="0"/>
        <w:autoSpaceDE/>
        <w:autoSpaceDN/>
        <w:bidi w:val="0"/>
        <w:adjustRightInd w:val="0"/>
        <w:snapToGrid w:val="0"/>
        <w:spacing w:before="313" w:beforeLines="100" w:after="313" w:afterLines="100" w:line="0" w:lineRule="atLeast"/>
        <w:ind w:firstLine="0" w:firstLineChars="0"/>
        <w:jc w:val="center"/>
        <w:textAlignment w:val="auto"/>
        <w:rPr>
          <w:rFonts w:hint="eastAsia" w:ascii="黑体" w:hAnsi="黑体" w:eastAsia="黑体"/>
          <w:b w:val="0"/>
          <w:bCs/>
          <w:color w:val="auto"/>
          <w:sz w:val="32"/>
          <w:highlight w:val="none"/>
        </w:rPr>
      </w:pPr>
      <w:r>
        <w:rPr>
          <w:rFonts w:hint="eastAsia" w:ascii="黑体" w:hAnsi="黑体" w:eastAsia="黑体"/>
          <w:b w:val="0"/>
          <w:bCs/>
          <w:color w:val="auto"/>
          <w:sz w:val="32"/>
          <w:highlight w:val="none"/>
        </w:rPr>
        <w:t>第</w:t>
      </w:r>
      <w:r>
        <w:rPr>
          <w:rFonts w:hint="eastAsia" w:ascii="黑体" w:hAnsi="黑体" w:eastAsia="黑体"/>
          <w:b w:val="0"/>
          <w:bCs/>
          <w:color w:val="auto"/>
          <w:sz w:val="32"/>
          <w:highlight w:val="none"/>
          <w:lang w:eastAsia="zh-CN"/>
        </w:rPr>
        <w:t>五</w:t>
      </w:r>
      <w:r>
        <w:rPr>
          <w:rFonts w:hint="eastAsia" w:ascii="黑体" w:hAnsi="黑体" w:eastAsia="黑体"/>
          <w:b w:val="0"/>
          <w:bCs/>
          <w:color w:val="auto"/>
          <w:sz w:val="32"/>
          <w:highlight w:val="none"/>
        </w:rPr>
        <w:t xml:space="preserve">章  </w:t>
      </w:r>
      <w:r>
        <w:rPr>
          <w:rFonts w:hint="eastAsia" w:ascii="黑体" w:hAnsi="黑体" w:eastAsia="黑体"/>
          <w:b w:val="0"/>
          <w:bCs/>
          <w:color w:val="auto"/>
          <w:sz w:val="32"/>
          <w:highlight w:val="none"/>
          <w:lang w:eastAsia="zh-CN"/>
        </w:rPr>
        <w:t>中介机构的考核</w:t>
      </w:r>
    </w:p>
    <w:p>
      <w:pPr>
        <w:keepNext w:val="0"/>
        <w:keepLines w:val="0"/>
        <w:pageBreakBefore w:val="0"/>
        <w:widowControl/>
        <w:shd w:val="clear" w:color="auto" w:fill="auto"/>
        <w:kinsoku/>
        <w:wordWrap/>
        <w:overflowPunct/>
        <w:topLinePunct w:val="0"/>
        <w:autoSpaceDE/>
        <w:autoSpaceDN/>
        <w:bidi w:val="0"/>
        <w:adjustRightInd w:val="0"/>
        <w:snapToGrid w:val="0"/>
        <w:spacing w:beforeLines="0" w:afterLines="0" w:line="0" w:lineRule="atLeast"/>
        <w:ind w:firstLine="636" w:firstLineChars="200"/>
        <w:textAlignment w:val="auto"/>
        <w:rPr>
          <w:rFonts w:hint="eastAsia" w:ascii="仿宋_GB2312" w:eastAsia="仿宋_GB2312" w:cs="Times New Roman"/>
          <w:color w:val="auto"/>
          <w:kern w:val="2"/>
          <w:sz w:val="32"/>
          <w:szCs w:val="32"/>
          <w:highlight w:val="none"/>
          <w:lang w:eastAsia="zh-CN"/>
        </w:rPr>
      </w:pPr>
      <w:r>
        <w:rPr>
          <w:rFonts w:hint="eastAsia" w:ascii="黑体" w:hAnsi="黑体" w:eastAsia="黑体" w:cs="黑体"/>
          <w:b w:val="0"/>
          <w:bCs/>
          <w:color w:val="auto"/>
          <w:kern w:val="0"/>
          <w:sz w:val="32"/>
          <w:szCs w:val="32"/>
          <w:highlight w:val="none"/>
          <w:lang w:val="en-US" w:eastAsia="zh-CN"/>
        </w:rPr>
        <w:t>第二十一条</w:t>
      </w:r>
      <w:r>
        <w:rPr>
          <w:rFonts w:hint="eastAsia" w:ascii="仿宋_GB2312" w:eastAsia="仿宋_GB2312" w:cs="Times New Roman"/>
          <w:color w:val="auto"/>
          <w:kern w:val="2"/>
          <w:sz w:val="32"/>
          <w:szCs w:val="32"/>
          <w:highlight w:val="none"/>
        </w:rPr>
        <w:t xml:space="preserve">  </w:t>
      </w:r>
      <w:r>
        <w:rPr>
          <w:rFonts w:hint="eastAsia" w:ascii="仿宋_GB2312" w:eastAsia="仿宋_GB2312" w:cs="Times New Roman"/>
          <w:color w:val="auto"/>
          <w:kern w:val="2"/>
          <w:sz w:val="32"/>
          <w:szCs w:val="32"/>
          <w:highlight w:val="none"/>
          <w:lang w:eastAsia="zh-CN"/>
        </w:rPr>
        <w:t>对中介机构的业务考核管理，坚持客观公正、实事求是的</w:t>
      </w:r>
      <w:r>
        <w:rPr>
          <w:rFonts w:hint="eastAsia" w:ascii="仿宋_GB2312" w:eastAsia="仿宋_GB2312" w:cs="Times New Roman"/>
          <w:color w:val="auto"/>
          <w:kern w:val="2"/>
          <w:sz w:val="32"/>
          <w:szCs w:val="32"/>
          <w:highlight w:val="none"/>
        </w:rPr>
        <w:t>原则</w:t>
      </w:r>
      <w:r>
        <w:rPr>
          <w:rFonts w:hint="eastAsia" w:ascii="仿宋_GB2312" w:eastAsia="仿宋_GB2312" w:cs="Times New Roman"/>
          <w:color w:val="auto"/>
          <w:kern w:val="2"/>
          <w:sz w:val="32"/>
          <w:szCs w:val="32"/>
          <w:highlight w:val="none"/>
          <w:lang w:eastAsia="zh-CN"/>
        </w:rPr>
        <w:t>，由评审中心采取定性与定量、核查资料与实地考察、组织考核与相关单位评议相结合的方式，进行单项业务考核与综合服务考核。单项业务考核于每一个项目审结出具评审报告时进行。综合服务考核一般在一个服务期内不少于两次，原则上每半年一次。单独委托单项评审业务的，按照签订的《委托评审合同》进行考核管理。</w:t>
      </w:r>
    </w:p>
    <w:p>
      <w:pPr>
        <w:keepNext w:val="0"/>
        <w:keepLines w:val="0"/>
        <w:pageBreakBefore w:val="0"/>
        <w:widowControl/>
        <w:shd w:val="clear" w:color="auto" w:fill="auto"/>
        <w:kinsoku/>
        <w:wordWrap/>
        <w:overflowPunct/>
        <w:topLinePunct w:val="0"/>
        <w:autoSpaceDE/>
        <w:autoSpaceDN/>
        <w:bidi w:val="0"/>
        <w:adjustRightInd w:val="0"/>
        <w:snapToGrid w:val="0"/>
        <w:spacing w:beforeLines="0" w:afterLines="0" w:line="0" w:lineRule="atLeast"/>
        <w:ind w:firstLine="636" w:firstLineChars="200"/>
        <w:textAlignment w:val="auto"/>
        <w:rPr>
          <w:rFonts w:hint="eastAsia" w:ascii="仿宋_GB2312" w:eastAsia="仿宋_GB2312" w:cs="Times New Roman"/>
          <w:color w:val="auto"/>
          <w:kern w:val="2"/>
          <w:sz w:val="32"/>
          <w:szCs w:val="32"/>
          <w:highlight w:val="none"/>
        </w:rPr>
      </w:pPr>
      <w:r>
        <w:rPr>
          <w:rFonts w:hint="eastAsia" w:ascii="黑体" w:hAnsi="黑体" w:eastAsia="黑体" w:cs="黑体"/>
          <w:b w:val="0"/>
          <w:bCs/>
          <w:color w:val="auto"/>
          <w:kern w:val="0"/>
          <w:sz w:val="32"/>
          <w:szCs w:val="32"/>
          <w:highlight w:val="none"/>
          <w:lang w:val="en-US" w:eastAsia="zh-CN"/>
        </w:rPr>
        <w:t>第二十二条</w:t>
      </w:r>
      <w:r>
        <w:rPr>
          <w:rFonts w:hint="eastAsia" w:ascii="仿宋_GB2312" w:eastAsia="仿宋_GB2312" w:cs="Times New Roman"/>
          <w:color w:val="auto"/>
          <w:kern w:val="2"/>
          <w:sz w:val="32"/>
          <w:szCs w:val="32"/>
          <w:highlight w:val="none"/>
        </w:rPr>
        <w:t xml:space="preserve">  </w:t>
      </w:r>
      <w:r>
        <w:rPr>
          <w:rFonts w:hint="eastAsia" w:ascii="仿宋_GB2312" w:eastAsia="仿宋_GB2312" w:cs="Times New Roman"/>
          <w:color w:val="auto"/>
          <w:kern w:val="2"/>
          <w:sz w:val="32"/>
          <w:szCs w:val="32"/>
          <w:highlight w:val="none"/>
          <w:lang w:eastAsia="zh-CN"/>
        </w:rPr>
        <w:t>业务考核管理实行评分制考核，满分为</w:t>
      </w:r>
      <w:r>
        <w:rPr>
          <w:rFonts w:hint="eastAsia" w:ascii="仿宋_GB2312" w:eastAsia="仿宋_GB2312" w:cs="Times New Roman"/>
          <w:color w:val="auto"/>
          <w:kern w:val="2"/>
          <w:sz w:val="32"/>
          <w:szCs w:val="32"/>
          <w:highlight w:val="none"/>
          <w:lang w:val="en-US" w:eastAsia="zh-CN"/>
        </w:rPr>
        <w:t>100分。</w:t>
      </w:r>
      <w:r>
        <w:rPr>
          <w:rFonts w:hint="eastAsia" w:ascii="仿宋_GB2312" w:eastAsia="仿宋_GB2312" w:cs="Times New Roman"/>
          <w:color w:val="auto"/>
          <w:kern w:val="2"/>
          <w:sz w:val="32"/>
          <w:szCs w:val="32"/>
          <w:highlight w:val="none"/>
        </w:rPr>
        <w:t>考核的内容包括</w:t>
      </w:r>
      <w:r>
        <w:rPr>
          <w:rFonts w:hint="eastAsia" w:ascii="仿宋_GB2312" w:eastAsia="仿宋_GB2312" w:cs="Times New Roman"/>
          <w:color w:val="auto"/>
          <w:kern w:val="2"/>
          <w:sz w:val="32"/>
          <w:szCs w:val="32"/>
          <w:highlight w:val="none"/>
          <w:lang w:eastAsia="zh-CN"/>
        </w:rPr>
        <w:t>评审效率、评审</w:t>
      </w:r>
      <w:r>
        <w:rPr>
          <w:rFonts w:hint="eastAsia" w:ascii="仿宋_GB2312" w:eastAsia="仿宋_GB2312" w:cs="Times New Roman"/>
          <w:color w:val="auto"/>
          <w:kern w:val="2"/>
          <w:sz w:val="32"/>
          <w:szCs w:val="32"/>
          <w:highlight w:val="none"/>
        </w:rPr>
        <w:t>质量、</w:t>
      </w:r>
      <w:r>
        <w:rPr>
          <w:rFonts w:hint="eastAsia" w:ascii="仿宋_GB2312" w:eastAsia="仿宋_GB2312" w:cs="Times New Roman"/>
          <w:color w:val="auto"/>
          <w:kern w:val="2"/>
          <w:sz w:val="32"/>
          <w:szCs w:val="32"/>
          <w:highlight w:val="none"/>
          <w:lang w:eastAsia="zh-CN"/>
        </w:rPr>
        <w:t>组织情况和服务水平等</w:t>
      </w:r>
      <w:r>
        <w:rPr>
          <w:rFonts w:hint="eastAsia" w:ascii="仿宋_GB2312" w:eastAsia="仿宋_GB2312" w:cs="Times New Roman"/>
          <w:color w:val="auto"/>
          <w:kern w:val="2"/>
          <w:sz w:val="32"/>
          <w:szCs w:val="32"/>
          <w:highlight w:val="none"/>
        </w:rPr>
        <w:t>方面内容，考核结果作为</w:t>
      </w:r>
      <w:r>
        <w:rPr>
          <w:rFonts w:hint="eastAsia" w:ascii="仿宋_GB2312" w:eastAsia="仿宋_GB2312" w:cs="Times New Roman"/>
          <w:color w:val="auto"/>
          <w:kern w:val="2"/>
          <w:sz w:val="32"/>
          <w:szCs w:val="32"/>
          <w:highlight w:val="none"/>
          <w:lang w:eastAsia="zh-CN"/>
        </w:rPr>
        <w:t>支付评审费用、解除和接续服务关系</w:t>
      </w:r>
      <w:r>
        <w:rPr>
          <w:rFonts w:hint="eastAsia" w:ascii="仿宋_GB2312" w:eastAsia="仿宋_GB2312" w:cs="Times New Roman"/>
          <w:color w:val="auto"/>
          <w:kern w:val="2"/>
          <w:sz w:val="32"/>
          <w:szCs w:val="32"/>
          <w:highlight w:val="none"/>
        </w:rPr>
        <w:t>的</w:t>
      </w:r>
      <w:r>
        <w:rPr>
          <w:rFonts w:hint="eastAsia" w:ascii="仿宋_GB2312" w:eastAsia="仿宋_GB2312" w:cs="Times New Roman"/>
          <w:color w:val="auto"/>
          <w:kern w:val="2"/>
          <w:sz w:val="32"/>
          <w:szCs w:val="32"/>
          <w:highlight w:val="none"/>
          <w:lang w:eastAsia="zh-CN"/>
        </w:rPr>
        <w:t>重要</w:t>
      </w:r>
      <w:r>
        <w:rPr>
          <w:rFonts w:hint="eastAsia" w:ascii="仿宋_GB2312" w:eastAsia="仿宋_GB2312" w:cs="Times New Roman"/>
          <w:color w:val="auto"/>
          <w:kern w:val="2"/>
          <w:sz w:val="32"/>
          <w:szCs w:val="32"/>
          <w:highlight w:val="none"/>
        </w:rPr>
        <w:t>依据。</w:t>
      </w:r>
    </w:p>
    <w:p>
      <w:pPr>
        <w:keepNext w:val="0"/>
        <w:keepLines w:val="0"/>
        <w:pageBreakBefore w:val="0"/>
        <w:widowControl/>
        <w:shd w:val="clear" w:color="auto" w:fill="auto"/>
        <w:kinsoku/>
        <w:wordWrap/>
        <w:overflowPunct/>
        <w:topLinePunct w:val="0"/>
        <w:autoSpaceDE/>
        <w:autoSpaceDN/>
        <w:bidi w:val="0"/>
        <w:adjustRightInd w:val="0"/>
        <w:snapToGrid w:val="0"/>
        <w:spacing w:beforeLines="0" w:afterLines="0" w:line="0" w:lineRule="atLeast"/>
        <w:ind w:firstLine="636" w:firstLineChars="200"/>
        <w:textAlignment w:val="auto"/>
        <w:rPr>
          <w:rFonts w:hint="eastAsia" w:ascii="仿宋_GB2312" w:eastAsia="仿宋_GB2312" w:cs="Times New Roman"/>
          <w:color w:val="auto"/>
          <w:kern w:val="2"/>
          <w:sz w:val="32"/>
          <w:szCs w:val="32"/>
          <w:highlight w:val="none"/>
          <w:lang w:eastAsia="zh-CN"/>
        </w:rPr>
      </w:pPr>
      <w:r>
        <w:rPr>
          <w:rFonts w:hint="eastAsia" w:ascii="黑体" w:hAnsi="黑体" w:eastAsia="黑体" w:cs="黑体"/>
          <w:b w:val="0"/>
          <w:bCs/>
          <w:color w:val="auto"/>
          <w:kern w:val="0"/>
          <w:sz w:val="32"/>
          <w:szCs w:val="32"/>
          <w:highlight w:val="none"/>
          <w:lang w:val="en-US" w:eastAsia="zh-CN"/>
        </w:rPr>
        <w:t>第二十三条</w:t>
      </w:r>
      <w:r>
        <w:rPr>
          <w:rFonts w:hint="eastAsia" w:ascii="仿宋_GB2312" w:eastAsia="仿宋_GB2312" w:cs="Times New Roman"/>
          <w:color w:val="auto"/>
          <w:kern w:val="2"/>
          <w:sz w:val="32"/>
          <w:szCs w:val="32"/>
          <w:highlight w:val="none"/>
        </w:rPr>
        <w:t xml:space="preserve"> </w:t>
      </w:r>
      <w:r>
        <w:rPr>
          <w:rFonts w:hint="eastAsia" w:ascii="仿宋_GB2312" w:eastAsia="仿宋_GB2312" w:cs="Times New Roman"/>
          <w:color w:val="auto"/>
          <w:kern w:val="2"/>
          <w:sz w:val="32"/>
          <w:szCs w:val="32"/>
          <w:highlight w:val="none"/>
          <w:lang w:val="en-US" w:eastAsia="zh-CN"/>
        </w:rPr>
        <w:t xml:space="preserve"> 单项</w:t>
      </w:r>
      <w:r>
        <w:rPr>
          <w:rFonts w:hint="eastAsia" w:ascii="仿宋_GB2312" w:eastAsia="仿宋_GB2312" w:cs="Times New Roman"/>
          <w:color w:val="auto"/>
          <w:kern w:val="2"/>
          <w:sz w:val="32"/>
          <w:szCs w:val="32"/>
          <w:highlight w:val="none"/>
        </w:rPr>
        <w:t>业务考核</w:t>
      </w:r>
      <w:r>
        <w:rPr>
          <w:rFonts w:hint="eastAsia" w:ascii="仿宋_GB2312" w:eastAsia="仿宋_GB2312" w:cs="Times New Roman"/>
          <w:color w:val="auto"/>
          <w:kern w:val="2"/>
          <w:sz w:val="32"/>
          <w:szCs w:val="32"/>
          <w:highlight w:val="none"/>
          <w:lang w:eastAsia="zh-CN"/>
        </w:rPr>
        <w:t>与综合服务考核</w:t>
      </w:r>
    </w:p>
    <w:p>
      <w:pPr>
        <w:keepNext w:val="0"/>
        <w:keepLines w:val="0"/>
        <w:pageBreakBefore w:val="0"/>
        <w:widowControl/>
        <w:shd w:val="clear" w:color="auto" w:fill="auto"/>
        <w:kinsoku/>
        <w:wordWrap/>
        <w:overflowPunct/>
        <w:topLinePunct w:val="0"/>
        <w:autoSpaceDE/>
        <w:autoSpaceDN/>
        <w:bidi w:val="0"/>
        <w:adjustRightInd w:val="0"/>
        <w:snapToGrid w:val="0"/>
        <w:spacing w:beforeLines="0" w:afterLines="0" w:line="0" w:lineRule="atLeast"/>
        <w:ind w:firstLine="636" w:firstLineChars="200"/>
        <w:textAlignment w:val="auto"/>
        <w:rPr>
          <w:rFonts w:hint="eastAsia" w:ascii="仿宋_GB2312" w:eastAsia="仿宋_GB2312" w:cs="Times New Roman"/>
          <w:color w:val="auto"/>
          <w:kern w:val="2"/>
          <w:sz w:val="32"/>
          <w:szCs w:val="32"/>
          <w:highlight w:val="none"/>
          <w:lang w:eastAsia="zh-CN"/>
        </w:rPr>
      </w:pPr>
      <w:r>
        <w:rPr>
          <w:rFonts w:hint="eastAsia" w:ascii="仿宋_GB2312" w:eastAsia="仿宋_GB2312" w:cs="Times New Roman"/>
          <w:color w:val="auto"/>
          <w:kern w:val="2"/>
          <w:sz w:val="32"/>
          <w:szCs w:val="32"/>
          <w:highlight w:val="none"/>
          <w:lang w:eastAsia="zh-CN"/>
        </w:rPr>
        <w:t>（一）单项业务考核，在项目审结出具评审报告时，由评审中心依据本办法规定的考核内容与相应的考核指标，通过单项业务考核评分表进行考核。</w:t>
      </w:r>
    </w:p>
    <w:p>
      <w:pPr>
        <w:keepNext w:val="0"/>
        <w:keepLines w:val="0"/>
        <w:pageBreakBefore w:val="0"/>
        <w:widowControl/>
        <w:shd w:val="clear" w:color="auto" w:fill="auto"/>
        <w:kinsoku/>
        <w:wordWrap/>
        <w:overflowPunct/>
        <w:topLinePunct w:val="0"/>
        <w:autoSpaceDE/>
        <w:autoSpaceDN/>
        <w:bidi w:val="0"/>
        <w:adjustRightInd w:val="0"/>
        <w:snapToGrid w:val="0"/>
        <w:spacing w:beforeLines="0" w:afterLines="0" w:line="0" w:lineRule="atLeast"/>
        <w:ind w:firstLine="636" w:firstLineChars="200"/>
        <w:textAlignment w:val="auto"/>
        <w:rPr>
          <w:rFonts w:hint="eastAsia" w:ascii="仿宋_GB2312" w:eastAsia="仿宋_GB2312" w:cs="Times New Roman"/>
          <w:color w:val="auto"/>
          <w:kern w:val="2"/>
          <w:sz w:val="32"/>
          <w:szCs w:val="32"/>
          <w:highlight w:val="none"/>
          <w:lang w:eastAsia="zh-CN"/>
        </w:rPr>
      </w:pPr>
      <w:r>
        <w:rPr>
          <w:rFonts w:hint="eastAsia" w:ascii="仿宋_GB2312" w:eastAsia="仿宋_GB2312" w:cs="Times New Roman"/>
          <w:color w:val="auto"/>
          <w:kern w:val="2"/>
          <w:sz w:val="32"/>
          <w:szCs w:val="32"/>
          <w:highlight w:val="none"/>
          <w:lang w:eastAsia="zh-CN"/>
        </w:rPr>
        <w:t>（二）综合服务考核，采用阶段性考核，由评审中心对一个阶段内中介机构受托的评审业务完成情况和履约情况等进行综合考评和核查，通过综合服务考核评分表进行考核。其中：受托业务完成情况评分以阶段内完成各项目单项业务考核分值算术平均值的</w:t>
      </w:r>
      <w:r>
        <w:rPr>
          <w:rFonts w:hint="eastAsia" w:ascii="仿宋_GB2312" w:eastAsia="仿宋_GB2312" w:cs="Times New Roman"/>
          <w:color w:val="auto"/>
          <w:kern w:val="2"/>
          <w:sz w:val="32"/>
          <w:szCs w:val="32"/>
          <w:highlight w:val="none"/>
          <w:lang w:val="en-US" w:eastAsia="zh-CN"/>
        </w:rPr>
        <w:t>60%计入综合服务考核评分表，履约情况等（占总分值的40%）以组织核查评价方式评分计入综合服务考核评分表。</w:t>
      </w:r>
    </w:p>
    <w:p>
      <w:pPr>
        <w:keepNext w:val="0"/>
        <w:keepLines w:val="0"/>
        <w:pageBreakBefore w:val="0"/>
        <w:widowControl/>
        <w:shd w:val="clear" w:color="auto" w:fill="auto"/>
        <w:kinsoku/>
        <w:wordWrap/>
        <w:overflowPunct/>
        <w:topLinePunct w:val="0"/>
        <w:autoSpaceDE/>
        <w:autoSpaceDN/>
        <w:bidi w:val="0"/>
        <w:adjustRightInd w:val="0"/>
        <w:snapToGrid w:val="0"/>
        <w:spacing w:beforeLines="0" w:afterLines="0" w:line="0" w:lineRule="atLeast"/>
        <w:ind w:firstLine="636" w:firstLineChars="200"/>
        <w:textAlignment w:val="auto"/>
        <w:rPr>
          <w:rFonts w:hint="default" w:ascii="仿宋_GB2312" w:eastAsia="仿宋_GB2312" w:cs="Times New Roman"/>
          <w:color w:val="auto"/>
          <w:kern w:val="2"/>
          <w:sz w:val="32"/>
          <w:szCs w:val="32"/>
          <w:highlight w:val="none"/>
          <w:lang w:val="en-US" w:eastAsia="zh-CN"/>
        </w:rPr>
      </w:pPr>
      <w:r>
        <w:rPr>
          <w:rFonts w:hint="eastAsia" w:ascii="仿宋_GB2312" w:eastAsia="仿宋_GB2312" w:cs="Times New Roman"/>
          <w:color w:val="auto"/>
          <w:kern w:val="2"/>
          <w:sz w:val="32"/>
          <w:szCs w:val="32"/>
          <w:highlight w:val="none"/>
          <w:lang w:eastAsia="zh-CN"/>
        </w:rPr>
        <w:t>（三）业务考核管理按得分情况分为优良【</w:t>
      </w:r>
      <w:r>
        <w:rPr>
          <w:rFonts w:hint="eastAsia" w:ascii="仿宋_GB2312" w:eastAsia="仿宋_GB2312" w:cs="Times New Roman"/>
          <w:color w:val="auto"/>
          <w:kern w:val="2"/>
          <w:sz w:val="32"/>
          <w:szCs w:val="32"/>
          <w:highlight w:val="none"/>
          <w:lang w:val="en-US" w:eastAsia="zh-CN"/>
        </w:rPr>
        <w:t>90分（含）-100分</w:t>
      </w:r>
      <w:r>
        <w:rPr>
          <w:rFonts w:hint="eastAsia" w:ascii="仿宋_GB2312" w:eastAsia="仿宋_GB2312" w:cs="Times New Roman"/>
          <w:color w:val="auto"/>
          <w:kern w:val="2"/>
          <w:sz w:val="32"/>
          <w:szCs w:val="32"/>
          <w:highlight w:val="none"/>
          <w:lang w:eastAsia="zh-CN"/>
        </w:rPr>
        <w:t>】、合格【</w:t>
      </w:r>
      <w:r>
        <w:rPr>
          <w:rFonts w:hint="eastAsia" w:ascii="仿宋_GB2312" w:eastAsia="仿宋_GB2312" w:cs="Times New Roman"/>
          <w:color w:val="auto"/>
          <w:kern w:val="2"/>
          <w:sz w:val="32"/>
          <w:szCs w:val="32"/>
          <w:highlight w:val="none"/>
          <w:lang w:val="en-US" w:eastAsia="zh-CN"/>
        </w:rPr>
        <w:t>80分</w:t>
      </w:r>
      <w:r>
        <w:rPr>
          <w:rFonts w:hint="eastAsia" w:ascii="仿宋_GB2312" w:eastAsia="仿宋_GB2312" w:cs="Times New Roman"/>
          <w:color w:val="auto"/>
          <w:kern w:val="2"/>
          <w:sz w:val="32"/>
          <w:szCs w:val="32"/>
          <w:highlight w:val="none"/>
          <w:lang w:eastAsia="zh-CN"/>
        </w:rPr>
        <w:t>（含）</w:t>
      </w:r>
      <w:r>
        <w:rPr>
          <w:rFonts w:hint="eastAsia" w:ascii="仿宋_GB2312" w:eastAsia="仿宋_GB2312" w:cs="Times New Roman"/>
          <w:color w:val="auto"/>
          <w:kern w:val="2"/>
          <w:sz w:val="32"/>
          <w:szCs w:val="32"/>
          <w:highlight w:val="none"/>
          <w:lang w:val="en-US" w:eastAsia="zh-CN"/>
        </w:rPr>
        <w:t>-90分</w:t>
      </w:r>
      <w:r>
        <w:rPr>
          <w:rFonts w:hint="eastAsia" w:ascii="仿宋_GB2312" w:eastAsia="仿宋_GB2312" w:cs="Times New Roman"/>
          <w:color w:val="auto"/>
          <w:kern w:val="2"/>
          <w:sz w:val="32"/>
          <w:szCs w:val="32"/>
          <w:highlight w:val="none"/>
          <w:lang w:eastAsia="zh-CN"/>
        </w:rPr>
        <w:t>】、基本合格【</w:t>
      </w:r>
      <w:r>
        <w:rPr>
          <w:rFonts w:hint="eastAsia" w:ascii="仿宋_GB2312" w:eastAsia="仿宋_GB2312" w:cs="Times New Roman"/>
          <w:color w:val="auto"/>
          <w:kern w:val="2"/>
          <w:sz w:val="32"/>
          <w:szCs w:val="32"/>
          <w:highlight w:val="none"/>
          <w:lang w:val="en-US" w:eastAsia="zh-CN"/>
        </w:rPr>
        <w:t>60分（含）-80分</w:t>
      </w:r>
      <w:r>
        <w:rPr>
          <w:rFonts w:hint="eastAsia" w:ascii="仿宋_GB2312" w:eastAsia="仿宋_GB2312" w:cs="Times New Roman"/>
          <w:color w:val="auto"/>
          <w:kern w:val="2"/>
          <w:sz w:val="32"/>
          <w:szCs w:val="32"/>
          <w:highlight w:val="none"/>
          <w:lang w:eastAsia="zh-CN"/>
        </w:rPr>
        <w:t>】和不合格【</w:t>
      </w:r>
      <w:r>
        <w:rPr>
          <w:rFonts w:hint="eastAsia" w:ascii="仿宋_GB2312" w:eastAsia="仿宋_GB2312" w:cs="Times New Roman"/>
          <w:color w:val="auto"/>
          <w:kern w:val="2"/>
          <w:sz w:val="32"/>
          <w:szCs w:val="32"/>
          <w:highlight w:val="none"/>
          <w:lang w:val="en-US" w:eastAsia="zh-CN"/>
        </w:rPr>
        <w:t>60分以下</w:t>
      </w:r>
      <w:r>
        <w:rPr>
          <w:rFonts w:hint="eastAsia" w:ascii="仿宋_GB2312" w:eastAsia="仿宋_GB2312" w:cs="Times New Roman"/>
          <w:color w:val="auto"/>
          <w:kern w:val="2"/>
          <w:sz w:val="32"/>
          <w:szCs w:val="32"/>
          <w:highlight w:val="none"/>
          <w:lang w:eastAsia="zh-CN"/>
        </w:rPr>
        <w:t>】四档。按照单项业务考核结果档次，分别以</w:t>
      </w:r>
      <w:r>
        <w:rPr>
          <w:rFonts w:hint="eastAsia" w:ascii="仿宋_GB2312" w:eastAsia="仿宋_GB2312" w:cs="Times New Roman"/>
          <w:color w:val="auto"/>
          <w:kern w:val="2"/>
          <w:sz w:val="32"/>
          <w:szCs w:val="32"/>
          <w:highlight w:val="none"/>
          <w:lang w:val="en-US" w:eastAsia="zh-CN"/>
        </w:rPr>
        <w:t>100%、90%、80%作为委托评审费付费计算时的</w:t>
      </w:r>
      <w:r>
        <w:rPr>
          <w:rFonts w:hint="eastAsia" w:ascii="仿宋_GB2312" w:eastAsia="仿宋_GB2312" w:cs="宋体"/>
          <w:b w:val="0"/>
          <w:bCs/>
          <w:color w:val="auto"/>
          <w:kern w:val="0"/>
          <w:sz w:val="32"/>
          <w:szCs w:val="32"/>
          <w:highlight w:val="none"/>
          <w:lang w:val="en-US" w:eastAsia="zh-CN"/>
        </w:rPr>
        <w:t>单项业务考核结果档次</w:t>
      </w:r>
      <w:r>
        <w:rPr>
          <w:rFonts w:hint="eastAsia" w:ascii="仿宋_GB2312" w:eastAsia="仿宋_GB2312" w:cs="Times New Roman"/>
          <w:color w:val="auto"/>
          <w:kern w:val="2"/>
          <w:sz w:val="32"/>
          <w:szCs w:val="32"/>
          <w:highlight w:val="none"/>
          <w:lang w:val="en-US" w:eastAsia="zh-CN"/>
        </w:rPr>
        <w:t>计算比例，若出现不合格</w:t>
      </w:r>
      <w:r>
        <w:rPr>
          <w:rFonts w:hint="eastAsia" w:ascii="仿宋_GB2312" w:eastAsia="仿宋_GB2312" w:cs="Times New Roman"/>
          <w:color w:val="auto"/>
          <w:kern w:val="2"/>
          <w:sz w:val="32"/>
          <w:szCs w:val="32"/>
          <w:highlight w:val="none"/>
          <w:lang w:eastAsia="zh-CN"/>
        </w:rPr>
        <w:t>【</w:t>
      </w:r>
      <w:r>
        <w:rPr>
          <w:rFonts w:hint="eastAsia" w:ascii="仿宋_GB2312" w:eastAsia="仿宋_GB2312" w:cs="Times New Roman"/>
          <w:color w:val="auto"/>
          <w:kern w:val="2"/>
          <w:sz w:val="32"/>
          <w:szCs w:val="32"/>
          <w:highlight w:val="none"/>
          <w:lang w:val="en-US" w:eastAsia="zh-CN"/>
        </w:rPr>
        <w:t>60分以下</w:t>
      </w:r>
      <w:r>
        <w:rPr>
          <w:rFonts w:hint="eastAsia" w:ascii="仿宋_GB2312" w:eastAsia="仿宋_GB2312" w:cs="Times New Roman"/>
          <w:color w:val="auto"/>
          <w:kern w:val="2"/>
          <w:sz w:val="32"/>
          <w:szCs w:val="32"/>
          <w:highlight w:val="none"/>
          <w:lang w:eastAsia="zh-CN"/>
        </w:rPr>
        <w:t>】的情况不予支付评审费用，若同一家中介机构服务期内出现三次不合格【</w:t>
      </w:r>
      <w:r>
        <w:rPr>
          <w:rFonts w:hint="eastAsia" w:ascii="仿宋_GB2312" w:eastAsia="仿宋_GB2312" w:cs="Times New Roman"/>
          <w:color w:val="auto"/>
          <w:kern w:val="2"/>
          <w:sz w:val="32"/>
          <w:szCs w:val="32"/>
          <w:highlight w:val="none"/>
          <w:lang w:val="en-US" w:eastAsia="zh-CN"/>
        </w:rPr>
        <w:t>60分以下</w:t>
      </w:r>
      <w:r>
        <w:rPr>
          <w:rFonts w:hint="eastAsia" w:ascii="仿宋_GB2312" w:eastAsia="仿宋_GB2312" w:cs="Times New Roman"/>
          <w:color w:val="auto"/>
          <w:kern w:val="2"/>
          <w:sz w:val="32"/>
          <w:szCs w:val="32"/>
          <w:highlight w:val="none"/>
          <w:lang w:eastAsia="zh-CN"/>
        </w:rPr>
        <w:t>】的情况，则直接解除服务关系。按照综合服务考核结果档次，分别以</w:t>
      </w:r>
      <w:r>
        <w:rPr>
          <w:rFonts w:hint="eastAsia" w:ascii="仿宋_GB2312" w:eastAsia="仿宋_GB2312" w:cs="Times New Roman"/>
          <w:color w:val="auto"/>
          <w:kern w:val="2"/>
          <w:sz w:val="32"/>
          <w:szCs w:val="32"/>
          <w:highlight w:val="none"/>
          <w:lang w:val="en-US" w:eastAsia="zh-CN"/>
        </w:rPr>
        <w:t>1.1、1.0、0.9的系数</w:t>
      </w:r>
      <w:r>
        <w:rPr>
          <w:rFonts w:hint="eastAsia" w:ascii="仿宋_GB2312" w:eastAsia="仿宋_GB2312" w:cs="Times New Roman"/>
          <w:color w:val="auto"/>
          <w:kern w:val="2"/>
          <w:sz w:val="32"/>
          <w:szCs w:val="32"/>
          <w:highlight w:val="none"/>
          <w:lang w:eastAsia="zh-CN"/>
        </w:rPr>
        <w:t>在下一个阶段综合服务考核结果形成前</w:t>
      </w:r>
      <w:r>
        <w:rPr>
          <w:rFonts w:hint="eastAsia" w:ascii="仿宋_GB2312" w:eastAsia="仿宋_GB2312" w:cs="Times New Roman"/>
          <w:color w:val="auto"/>
          <w:kern w:val="2"/>
          <w:sz w:val="32"/>
          <w:szCs w:val="32"/>
          <w:highlight w:val="none"/>
          <w:lang w:val="en-US" w:eastAsia="zh-CN"/>
        </w:rPr>
        <w:t>作为委托评审费付费计算时的</w:t>
      </w:r>
      <w:r>
        <w:rPr>
          <w:rFonts w:hint="eastAsia" w:ascii="仿宋_GB2312" w:eastAsia="仿宋_GB2312" w:cs="宋体"/>
          <w:b w:val="0"/>
          <w:bCs/>
          <w:color w:val="auto"/>
          <w:kern w:val="0"/>
          <w:sz w:val="32"/>
          <w:szCs w:val="32"/>
          <w:highlight w:val="none"/>
          <w:lang w:val="en-US" w:eastAsia="zh-CN"/>
        </w:rPr>
        <w:t>综合服务考核结果档次计算</w:t>
      </w:r>
      <w:r>
        <w:rPr>
          <w:rFonts w:hint="eastAsia" w:ascii="仿宋_GB2312" w:eastAsia="仿宋_GB2312" w:cs="Times New Roman"/>
          <w:color w:val="auto"/>
          <w:kern w:val="2"/>
          <w:sz w:val="32"/>
          <w:szCs w:val="32"/>
          <w:highlight w:val="none"/>
          <w:lang w:val="en-US" w:eastAsia="zh-CN"/>
        </w:rPr>
        <w:t>系数，若出现不合格</w:t>
      </w:r>
      <w:r>
        <w:rPr>
          <w:rFonts w:hint="eastAsia" w:ascii="仿宋_GB2312" w:eastAsia="仿宋_GB2312" w:cs="Times New Roman"/>
          <w:color w:val="auto"/>
          <w:kern w:val="2"/>
          <w:sz w:val="32"/>
          <w:szCs w:val="32"/>
          <w:highlight w:val="none"/>
          <w:lang w:eastAsia="zh-CN"/>
        </w:rPr>
        <w:t>【</w:t>
      </w:r>
      <w:r>
        <w:rPr>
          <w:rFonts w:hint="eastAsia" w:ascii="仿宋_GB2312" w:eastAsia="仿宋_GB2312" w:cs="Times New Roman"/>
          <w:color w:val="auto"/>
          <w:kern w:val="2"/>
          <w:sz w:val="32"/>
          <w:szCs w:val="32"/>
          <w:highlight w:val="none"/>
          <w:lang w:val="en-US" w:eastAsia="zh-CN"/>
        </w:rPr>
        <w:t>60分以下</w:t>
      </w:r>
      <w:r>
        <w:rPr>
          <w:rFonts w:hint="eastAsia" w:ascii="仿宋_GB2312" w:eastAsia="仿宋_GB2312" w:cs="Times New Roman"/>
          <w:color w:val="auto"/>
          <w:kern w:val="2"/>
          <w:sz w:val="32"/>
          <w:szCs w:val="32"/>
          <w:highlight w:val="none"/>
          <w:lang w:eastAsia="zh-CN"/>
        </w:rPr>
        <w:t>】的情况直接解除服务关系。综合服务考核结果计算</w:t>
      </w:r>
      <w:r>
        <w:rPr>
          <w:rFonts w:hint="eastAsia" w:ascii="仿宋_GB2312" w:eastAsia="仿宋_GB2312" w:cs="Times New Roman"/>
          <w:color w:val="auto"/>
          <w:kern w:val="2"/>
          <w:sz w:val="32"/>
          <w:szCs w:val="32"/>
          <w:highlight w:val="none"/>
          <w:lang w:val="en-US" w:eastAsia="zh-CN"/>
        </w:rPr>
        <w:t>系数</w:t>
      </w:r>
      <w:r>
        <w:rPr>
          <w:rFonts w:hint="eastAsia" w:ascii="仿宋_GB2312" w:eastAsia="仿宋_GB2312" w:cs="Times New Roman"/>
          <w:color w:val="auto"/>
          <w:kern w:val="2"/>
          <w:sz w:val="32"/>
          <w:szCs w:val="32"/>
          <w:highlight w:val="none"/>
          <w:lang w:eastAsia="zh-CN"/>
        </w:rPr>
        <w:t>初始值为</w:t>
      </w:r>
      <w:r>
        <w:rPr>
          <w:rFonts w:hint="eastAsia" w:ascii="仿宋_GB2312" w:eastAsia="仿宋_GB2312" w:cs="Times New Roman"/>
          <w:color w:val="auto"/>
          <w:kern w:val="2"/>
          <w:sz w:val="32"/>
          <w:szCs w:val="32"/>
          <w:highlight w:val="none"/>
          <w:lang w:val="en-US" w:eastAsia="zh-CN"/>
        </w:rPr>
        <w:t>1.0。若一个考核期间内中介机构未有受托业务完成的，综合服务考核结果评定为“暂不定档”，综合服务考核结果档次计算系数取为初始值。</w:t>
      </w:r>
    </w:p>
    <w:p>
      <w:pPr>
        <w:keepNext w:val="0"/>
        <w:keepLines w:val="0"/>
        <w:pageBreakBefore w:val="0"/>
        <w:widowControl/>
        <w:shd w:val="clear" w:color="auto" w:fill="auto"/>
        <w:kinsoku/>
        <w:wordWrap/>
        <w:overflowPunct/>
        <w:topLinePunct w:val="0"/>
        <w:autoSpaceDE/>
        <w:autoSpaceDN/>
        <w:bidi w:val="0"/>
        <w:adjustRightInd w:val="0"/>
        <w:snapToGrid w:val="0"/>
        <w:spacing w:beforeLines="0" w:afterLines="0" w:line="0" w:lineRule="atLeast"/>
        <w:ind w:firstLine="636" w:firstLineChars="200"/>
        <w:textAlignment w:val="auto"/>
        <w:rPr>
          <w:rFonts w:hint="eastAsia" w:ascii="仿宋_GB2312" w:eastAsia="仿宋_GB2312" w:cs="Times New Roman"/>
          <w:color w:val="auto"/>
          <w:kern w:val="2"/>
          <w:sz w:val="32"/>
          <w:szCs w:val="32"/>
          <w:highlight w:val="none"/>
          <w:lang w:eastAsia="zh-CN"/>
        </w:rPr>
      </w:pPr>
      <w:r>
        <w:rPr>
          <w:rFonts w:hint="eastAsia" w:ascii="仿宋_GB2312" w:eastAsia="仿宋_GB2312" w:cs="Times New Roman"/>
          <w:color w:val="auto"/>
          <w:kern w:val="2"/>
          <w:sz w:val="32"/>
          <w:szCs w:val="32"/>
          <w:highlight w:val="none"/>
          <w:lang w:eastAsia="zh-CN"/>
        </w:rPr>
        <w:t>（四）单项业务考核情况应经评审中心项目负责人签署，中介机构法定代表人或项目评审组负责人签字并盖公章确认；中介机构未按要求对单项业务考核结果签章确认的，单项业务评审费用不予支付。综合服务考核情况应经评审中心考核组人员签署（考核组人员原则上不少于三人），中介机构法定代表人签字并盖公章确认；中介机构未按要求对综合服务考核结果签章确认的，暂停委托其参与评审业务，直至解除服务关系。</w:t>
      </w:r>
    </w:p>
    <w:p>
      <w:pPr>
        <w:keepNext w:val="0"/>
        <w:keepLines w:val="0"/>
        <w:pageBreakBefore w:val="0"/>
        <w:widowControl/>
        <w:shd w:val="clear" w:color="auto" w:fill="auto"/>
        <w:kinsoku/>
        <w:wordWrap/>
        <w:overflowPunct/>
        <w:topLinePunct w:val="0"/>
        <w:autoSpaceDE/>
        <w:autoSpaceDN/>
        <w:bidi w:val="0"/>
        <w:adjustRightInd w:val="0"/>
        <w:snapToGrid w:val="0"/>
        <w:spacing w:beforeLines="0" w:afterLines="0" w:line="0" w:lineRule="atLeast"/>
        <w:ind w:firstLine="636" w:firstLineChars="200"/>
        <w:textAlignment w:val="auto"/>
        <w:rPr>
          <w:rFonts w:hint="eastAsia" w:ascii="黑体" w:hAnsi="黑体" w:eastAsia="黑体" w:cs="黑体"/>
          <w:b w:val="0"/>
          <w:bCs/>
          <w:color w:val="auto"/>
          <w:kern w:val="0"/>
          <w:sz w:val="32"/>
          <w:szCs w:val="32"/>
          <w:highlight w:val="none"/>
          <w:lang w:val="en-US" w:eastAsia="zh-CN"/>
        </w:rPr>
      </w:pPr>
      <w:r>
        <w:rPr>
          <w:rFonts w:hint="eastAsia" w:ascii="仿宋_GB2312" w:eastAsia="仿宋_GB2312" w:cs="Times New Roman"/>
          <w:color w:val="auto"/>
          <w:kern w:val="2"/>
          <w:sz w:val="32"/>
          <w:szCs w:val="32"/>
          <w:highlight w:val="none"/>
          <w:lang w:eastAsia="zh-CN"/>
        </w:rPr>
        <w:t>（五）因不配合评审中心开展业务考核管理或业务考核不合格，而被解除服务关系的中介机构，三年内三明市财政局不再委托其参与财政投资评审业务，尚未结清的评审费用按单项业务考核结果档次计算付费。</w:t>
      </w:r>
    </w:p>
    <w:p>
      <w:pPr>
        <w:keepNext w:val="0"/>
        <w:keepLines w:val="0"/>
        <w:pageBreakBefore w:val="0"/>
        <w:widowControl/>
        <w:shd w:val="clear" w:color="auto" w:fill="auto"/>
        <w:kinsoku/>
        <w:wordWrap/>
        <w:overflowPunct/>
        <w:topLinePunct w:val="0"/>
        <w:autoSpaceDE/>
        <w:autoSpaceDN/>
        <w:bidi w:val="0"/>
        <w:adjustRightInd w:val="0"/>
        <w:snapToGrid w:val="0"/>
        <w:spacing w:beforeLines="0" w:afterLines="0" w:line="0" w:lineRule="atLeast"/>
        <w:ind w:firstLine="636" w:firstLineChars="200"/>
        <w:textAlignment w:val="auto"/>
        <w:rPr>
          <w:rFonts w:hint="default" w:ascii="仿宋_GB2312" w:eastAsia="仿宋_GB2312" w:cs="Times New Roman"/>
          <w:color w:val="auto"/>
          <w:kern w:val="2"/>
          <w:sz w:val="32"/>
          <w:szCs w:val="32"/>
          <w:highlight w:val="none"/>
          <w:lang w:val="en-US" w:eastAsia="zh-CN"/>
        </w:rPr>
      </w:pPr>
      <w:r>
        <w:rPr>
          <w:rFonts w:hint="eastAsia" w:ascii="黑体" w:hAnsi="黑体" w:eastAsia="黑体" w:cs="黑体"/>
          <w:b w:val="0"/>
          <w:bCs/>
          <w:color w:val="auto"/>
          <w:kern w:val="0"/>
          <w:sz w:val="32"/>
          <w:szCs w:val="32"/>
          <w:highlight w:val="none"/>
          <w:lang w:val="en-US" w:eastAsia="zh-CN"/>
        </w:rPr>
        <w:t>第二十四条</w:t>
      </w:r>
      <w:r>
        <w:rPr>
          <w:rFonts w:hint="eastAsia" w:ascii="仿宋_GB2312" w:eastAsia="仿宋_GB2312" w:cs="Times New Roman"/>
          <w:color w:val="auto"/>
          <w:kern w:val="2"/>
          <w:sz w:val="32"/>
          <w:szCs w:val="32"/>
          <w:highlight w:val="none"/>
          <w:lang w:val="en-US" w:eastAsia="zh-CN"/>
        </w:rPr>
        <w:t xml:space="preserve">  </w:t>
      </w:r>
      <w:r>
        <w:rPr>
          <w:rFonts w:hint="eastAsia" w:ascii="仿宋_GB2312" w:eastAsia="仿宋_GB2312" w:cs="Times New Roman"/>
          <w:color w:val="auto"/>
          <w:kern w:val="2"/>
          <w:sz w:val="32"/>
          <w:szCs w:val="32"/>
          <w:highlight w:val="none"/>
          <w:lang w:eastAsia="zh-CN"/>
        </w:rPr>
        <w:t>除评分制考核外，三明市财政局可根据实际需要，对中介机构参与的单项评审业务，通过委托不同中介机构评审对照审核、事后抽查复审等方式组织考核。</w:t>
      </w:r>
    </w:p>
    <w:p>
      <w:pPr>
        <w:keepNext w:val="0"/>
        <w:keepLines w:val="0"/>
        <w:pageBreakBefore w:val="0"/>
        <w:widowControl/>
        <w:numPr>
          <w:ilvl w:val="0"/>
          <w:numId w:val="0"/>
        </w:numPr>
        <w:shd w:val="clear" w:color="auto" w:fill="auto"/>
        <w:kinsoku/>
        <w:wordWrap/>
        <w:overflowPunct/>
        <w:topLinePunct w:val="0"/>
        <w:autoSpaceDE/>
        <w:autoSpaceDN/>
        <w:bidi w:val="0"/>
        <w:adjustRightInd w:val="0"/>
        <w:snapToGrid w:val="0"/>
        <w:spacing w:beforeLines="0" w:afterLines="0" w:line="0" w:lineRule="atLeast"/>
        <w:jc w:val="both"/>
        <w:textAlignment w:val="auto"/>
        <w:rPr>
          <w:rFonts w:hint="eastAsia" w:ascii="黑体" w:hAnsi="黑体" w:eastAsia="黑体"/>
          <w:b w:val="0"/>
          <w:bCs/>
          <w:color w:val="auto"/>
          <w:sz w:val="32"/>
          <w:highlight w:val="none"/>
          <w:lang w:eastAsia="zh-CN"/>
        </w:rPr>
      </w:pPr>
      <w:r>
        <w:rPr>
          <w:rFonts w:hint="eastAsia" w:ascii="黑体" w:hAnsi="黑体" w:eastAsia="黑体"/>
          <w:b w:val="0"/>
          <w:bCs/>
          <w:color w:val="auto"/>
          <w:sz w:val="32"/>
          <w:highlight w:val="none"/>
        </w:rPr>
        <w:t xml:space="preserve"> </w:t>
      </w:r>
    </w:p>
    <w:p>
      <w:pPr>
        <w:keepNext w:val="0"/>
        <w:keepLines w:val="0"/>
        <w:pageBreakBefore w:val="0"/>
        <w:widowControl/>
        <w:numPr>
          <w:ilvl w:val="0"/>
          <w:numId w:val="0"/>
        </w:numPr>
        <w:shd w:val="clear" w:color="auto" w:fill="auto"/>
        <w:kinsoku/>
        <w:wordWrap/>
        <w:overflowPunct/>
        <w:topLinePunct w:val="0"/>
        <w:autoSpaceDE/>
        <w:autoSpaceDN/>
        <w:bidi w:val="0"/>
        <w:adjustRightInd w:val="0"/>
        <w:snapToGrid w:val="0"/>
        <w:spacing w:beforeLines="0" w:afterLines="0" w:line="0" w:lineRule="atLeast"/>
        <w:jc w:val="center"/>
        <w:textAlignment w:val="auto"/>
        <w:rPr>
          <w:rFonts w:hint="default" w:ascii="黑体" w:hAnsi="黑体" w:eastAsia="黑体"/>
          <w:b w:val="0"/>
          <w:bCs/>
          <w:color w:val="auto"/>
          <w:sz w:val="32"/>
          <w:highlight w:val="none"/>
          <w:lang w:val="en-US" w:eastAsia="zh-CN"/>
        </w:rPr>
      </w:pPr>
      <w:r>
        <w:rPr>
          <w:rFonts w:hint="eastAsia" w:ascii="黑体" w:hAnsi="黑体" w:eastAsia="黑体" w:cs="Times New Roman"/>
          <w:b w:val="0"/>
          <w:bCs/>
          <w:color w:val="auto"/>
          <w:sz w:val="32"/>
          <w:highlight w:val="none"/>
          <w:lang w:eastAsia="zh-CN"/>
        </w:rPr>
        <w:t>第六章</w:t>
      </w:r>
      <w:r>
        <w:rPr>
          <w:rFonts w:hint="eastAsia" w:ascii="黑体" w:hAnsi="黑体" w:eastAsia="黑体" w:cs="Times New Roman"/>
          <w:b w:val="0"/>
          <w:bCs/>
          <w:color w:val="auto"/>
          <w:sz w:val="32"/>
          <w:highlight w:val="none"/>
          <w:lang w:val="en-US" w:eastAsia="zh-CN"/>
        </w:rPr>
        <w:t xml:space="preserve"> 委托评审</w:t>
      </w:r>
      <w:r>
        <w:rPr>
          <w:rFonts w:hint="eastAsia" w:ascii="黑体" w:hAnsi="黑体" w:eastAsia="黑体"/>
          <w:b w:val="0"/>
          <w:bCs/>
          <w:color w:val="auto"/>
          <w:sz w:val="32"/>
          <w:highlight w:val="none"/>
          <w:lang w:eastAsia="zh-CN"/>
        </w:rPr>
        <w:t>费用</w:t>
      </w:r>
    </w:p>
    <w:p>
      <w:pPr>
        <w:keepNext w:val="0"/>
        <w:keepLines w:val="0"/>
        <w:pageBreakBefore w:val="0"/>
        <w:kinsoku/>
        <w:wordWrap/>
        <w:overflowPunct/>
        <w:topLinePunct w:val="0"/>
        <w:autoSpaceDE/>
        <w:autoSpaceDN/>
        <w:bidi w:val="0"/>
        <w:adjustRightInd w:val="0"/>
        <w:snapToGrid w:val="0"/>
        <w:spacing w:beforeLines="0" w:afterLines="0" w:line="0" w:lineRule="atLeast"/>
        <w:ind w:firstLine="636" w:firstLineChars="200"/>
        <w:textAlignment w:val="auto"/>
        <w:rPr>
          <w:rFonts w:hint="eastAsia" w:ascii="黑体" w:hAnsi="黑体" w:eastAsia="黑体" w:cs="黑体"/>
          <w:b w:val="0"/>
          <w:bCs/>
          <w:color w:val="auto"/>
          <w:kern w:val="0"/>
          <w:sz w:val="32"/>
          <w:szCs w:val="32"/>
          <w:highlight w:val="none"/>
        </w:rPr>
      </w:pPr>
    </w:p>
    <w:p>
      <w:pPr>
        <w:keepNext w:val="0"/>
        <w:keepLines w:val="0"/>
        <w:pageBreakBefore w:val="0"/>
        <w:kinsoku/>
        <w:wordWrap/>
        <w:overflowPunct/>
        <w:topLinePunct w:val="0"/>
        <w:autoSpaceDE/>
        <w:autoSpaceDN/>
        <w:bidi w:val="0"/>
        <w:adjustRightInd w:val="0"/>
        <w:snapToGrid w:val="0"/>
        <w:spacing w:beforeLines="0" w:afterLines="0" w:line="0" w:lineRule="atLeast"/>
        <w:ind w:firstLine="636" w:firstLineChars="200"/>
        <w:textAlignment w:val="auto"/>
        <w:rPr>
          <w:rFonts w:hint="eastAsia" w:ascii="仿宋_GB2312" w:hAnsi="仿宋_GB2312" w:eastAsia="仿宋_GB2312" w:cs="仿宋_GB2312"/>
          <w:color w:val="auto"/>
          <w:sz w:val="32"/>
          <w:szCs w:val="32"/>
          <w:highlight w:val="none"/>
          <w:lang w:eastAsia="zh-CN"/>
        </w:rPr>
      </w:pPr>
      <w:r>
        <w:rPr>
          <w:rFonts w:hint="eastAsia" w:ascii="黑体" w:hAnsi="黑体" w:eastAsia="黑体" w:cs="黑体"/>
          <w:b w:val="0"/>
          <w:bCs/>
          <w:color w:val="auto"/>
          <w:kern w:val="0"/>
          <w:sz w:val="32"/>
          <w:szCs w:val="32"/>
          <w:highlight w:val="none"/>
        </w:rPr>
        <w:t>第</w:t>
      </w:r>
      <w:r>
        <w:rPr>
          <w:rFonts w:hint="eastAsia" w:ascii="黑体" w:hAnsi="黑体" w:eastAsia="黑体" w:cs="黑体"/>
          <w:b w:val="0"/>
          <w:bCs/>
          <w:color w:val="auto"/>
          <w:kern w:val="0"/>
          <w:sz w:val="32"/>
          <w:szCs w:val="32"/>
          <w:highlight w:val="none"/>
          <w:lang w:eastAsia="zh-CN"/>
        </w:rPr>
        <w:t>二十五</w:t>
      </w:r>
      <w:r>
        <w:rPr>
          <w:rFonts w:hint="eastAsia" w:ascii="黑体" w:hAnsi="黑体" w:eastAsia="黑体" w:cs="黑体"/>
          <w:b w:val="0"/>
          <w:bCs/>
          <w:color w:val="auto"/>
          <w:kern w:val="0"/>
          <w:sz w:val="32"/>
          <w:szCs w:val="32"/>
          <w:highlight w:val="none"/>
        </w:rPr>
        <w:t>条</w:t>
      </w:r>
      <w:r>
        <w:rPr>
          <w:rFonts w:hint="eastAsia" w:ascii="仿宋_GB2312" w:eastAsia="仿宋_GB2312" w:cs="宋体"/>
          <w:b/>
          <w:color w:val="auto"/>
          <w:kern w:val="0"/>
          <w:sz w:val="32"/>
          <w:szCs w:val="32"/>
          <w:highlight w:val="none"/>
        </w:rPr>
        <w:t xml:space="preserve"> </w:t>
      </w:r>
      <w:r>
        <w:rPr>
          <w:rFonts w:hint="default" w:ascii="仿宋_GB2312" w:eastAsia="仿宋_GB2312" w:cs="宋体"/>
          <w:b/>
          <w:color w:val="auto"/>
          <w:kern w:val="0"/>
          <w:sz w:val="32"/>
          <w:szCs w:val="32"/>
          <w:highlight w:val="none"/>
          <w:lang w:val="en-US"/>
        </w:rPr>
        <w:t xml:space="preserve"> </w:t>
      </w:r>
      <w:r>
        <w:rPr>
          <w:rFonts w:hint="eastAsia" w:ascii="仿宋_GB2312" w:eastAsia="仿宋_GB2312" w:cs="宋体"/>
          <w:b w:val="0"/>
          <w:bCs/>
          <w:color w:val="auto"/>
          <w:kern w:val="0"/>
          <w:sz w:val="32"/>
          <w:szCs w:val="32"/>
          <w:highlight w:val="none"/>
          <w:lang w:val="en-US" w:eastAsia="zh-CN"/>
        </w:rPr>
        <w:t>委托</w:t>
      </w:r>
      <w:r>
        <w:rPr>
          <w:rFonts w:hint="eastAsia" w:ascii="仿宋_GB2312" w:hAnsi="仿宋_GB2312" w:eastAsia="仿宋_GB2312" w:cs="仿宋_GB2312"/>
          <w:color w:val="auto"/>
          <w:kern w:val="0"/>
          <w:sz w:val="32"/>
          <w:szCs w:val="32"/>
          <w:highlight w:val="none"/>
          <w:lang w:val="en-US" w:eastAsia="zh-CN"/>
        </w:rPr>
        <w:t>评审费用由三明市财政局预算安排，并向受托的中介机构拨付，受托中介机构不得向委托单位以外的其他单位或个人另行收取任何费用</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autoSpaceDN/>
        <w:bidi w:val="0"/>
        <w:adjustRightInd w:val="0"/>
        <w:snapToGrid w:val="0"/>
        <w:spacing w:beforeLines="0" w:afterLines="0" w:line="0" w:lineRule="atLeast"/>
        <w:ind w:firstLine="636" w:firstLineChars="200"/>
        <w:textAlignment w:val="auto"/>
        <w:rPr>
          <w:rFonts w:hint="eastAsia" w:ascii="仿宋_GB2312" w:eastAsia="仿宋_GB2312" w:cs="宋体"/>
          <w:b w:val="0"/>
          <w:bCs/>
          <w:color w:val="auto"/>
          <w:kern w:val="0"/>
          <w:sz w:val="32"/>
          <w:szCs w:val="32"/>
          <w:highlight w:val="none"/>
          <w:lang w:val="en-US" w:eastAsia="zh-CN"/>
        </w:rPr>
      </w:pPr>
      <w:r>
        <w:rPr>
          <w:rFonts w:hint="eastAsia" w:ascii="黑体" w:hAnsi="黑体" w:eastAsia="黑体" w:cs="黑体"/>
          <w:b w:val="0"/>
          <w:bCs/>
          <w:color w:val="auto"/>
          <w:kern w:val="0"/>
          <w:sz w:val="32"/>
          <w:szCs w:val="32"/>
          <w:highlight w:val="none"/>
        </w:rPr>
        <w:t>第</w:t>
      </w:r>
      <w:r>
        <w:rPr>
          <w:rFonts w:hint="eastAsia" w:ascii="黑体" w:hAnsi="黑体" w:eastAsia="黑体" w:cs="黑体"/>
          <w:b w:val="0"/>
          <w:bCs/>
          <w:color w:val="auto"/>
          <w:kern w:val="0"/>
          <w:sz w:val="32"/>
          <w:szCs w:val="32"/>
          <w:highlight w:val="none"/>
          <w:lang w:eastAsia="zh-CN"/>
        </w:rPr>
        <w:t>二十六</w:t>
      </w:r>
      <w:r>
        <w:rPr>
          <w:rFonts w:hint="eastAsia" w:ascii="黑体" w:hAnsi="黑体" w:eastAsia="黑体" w:cs="黑体"/>
          <w:b w:val="0"/>
          <w:bCs/>
          <w:color w:val="auto"/>
          <w:kern w:val="0"/>
          <w:sz w:val="32"/>
          <w:szCs w:val="32"/>
          <w:highlight w:val="none"/>
        </w:rPr>
        <w:t>条</w:t>
      </w:r>
      <w:r>
        <w:rPr>
          <w:rFonts w:hint="eastAsia" w:ascii="仿宋_GB2312" w:eastAsia="仿宋_GB2312" w:cs="宋体"/>
          <w:b/>
          <w:color w:val="auto"/>
          <w:kern w:val="0"/>
          <w:sz w:val="32"/>
          <w:szCs w:val="32"/>
          <w:highlight w:val="none"/>
        </w:rPr>
        <w:t xml:space="preserve"> </w:t>
      </w:r>
      <w:r>
        <w:rPr>
          <w:rFonts w:hint="default" w:ascii="仿宋_GB2312" w:eastAsia="仿宋_GB2312" w:cs="宋体"/>
          <w:b/>
          <w:color w:val="auto"/>
          <w:kern w:val="0"/>
          <w:sz w:val="32"/>
          <w:szCs w:val="32"/>
          <w:highlight w:val="none"/>
          <w:lang w:val="en-US"/>
        </w:rPr>
        <w:t xml:space="preserve"> </w:t>
      </w:r>
      <w:r>
        <w:rPr>
          <w:rFonts w:hint="eastAsia" w:ascii="仿宋_GB2312" w:eastAsia="仿宋_GB2312" w:cs="宋体"/>
          <w:b w:val="0"/>
          <w:bCs/>
          <w:color w:val="auto"/>
          <w:kern w:val="0"/>
          <w:sz w:val="32"/>
          <w:szCs w:val="32"/>
          <w:highlight w:val="none"/>
          <w:lang w:val="en-US" w:eastAsia="zh-CN"/>
        </w:rPr>
        <w:t>委托评审费用参照福建省财政厅《关于修订〈福建省省级财政性资金投资项目对外委托评审及付费管理办法〉的通知》（闽财建〔2008〕141号）规定的付费标准，根据中介机构完成评审项目的净核减率情况，划分为四个档次计费标准，结合单项业务考核和综合服务考核结果档次计算付费，具体计算公式为：委托评审费付费额=付费基数×相关费率（分档累进计费标准）×单项业务考核结果档次计算比例×综合服务考核结果档次计算系数，分档累进计费标准详见附件《三明市市级财政性资金投资项目委托评审付费标准表》；对情况特殊，不适用《三明市市级财政性资金投资项目委托评审付费标准表》计算付费的，由评审中心根据具体情况测算，按本办法第八条规定程序与中选中介机构商定后报请三明市财政局审批。</w:t>
      </w:r>
    </w:p>
    <w:p>
      <w:pPr>
        <w:keepNext w:val="0"/>
        <w:keepLines w:val="0"/>
        <w:pageBreakBefore w:val="0"/>
        <w:kinsoku/>
        <w:wordWrap/>
        <w:overflowPunct/>
        <w:topLinePunct w:val="0"/>
        <w:autoSpaceDE/>
        <w:autoSpaceDN/>
        <w:bidi w:val="0"/>
        <w:adjustRightInd w:val="0"/>
        <w:snapToGrid w:val="0"/>
        <w:spacing w:before="313" w:beforeLines="100" w:after="313" w:afterLines="100" w:line="0" w:lineRule="atLeast"/>
        <w:ind w:firstLine="0" w:firstLineChars="0"/>
        <w:jc w:val="center"/>
        <w:textAlignment w:val="auto"/>
        <w:rPr>
          <w:rFonts w:hint="eastAsia" w:ascii="黑体" w:hAnsi="黑体" w:eastAsia="黑体" w:cs="Times New Roman"/>
          <w:b w:val="0"/>
          <w:bCs/>
          <w:color w:val="auto"/>
          <w:sz w:val="32"/>
          <w:highlight w:val="none"/>
          <w:lang w:eastAsia="zh-CN"/>
        </w:rPr>
      </w:pPr>
      <w:r>
        <w:rPr>
          <w:rFonts w:hint="eastAsia" w:ascii="黑体" w:hAnsi="黑体" w:eastAsia="黑体" w:cs="Times New Roman"/>
          <w:b w:val="0"/>
          <w:bCs/>
          <w:color w:val="auto"/>
          <w:sz w:val="32"/>
          <w:highlight w:val="none"/>
          <w:lang w:eastAsia="zh-CN"/>
        </w:rPr>
        <w:t>第七章    法律责任</w:t>
      </w:r>
    </w:p>
    <w:p>
      <w:pPr>
        <w:keepNext w:val="0"/>
        <w:keepLines w:val="0"/>
        <w:pageBreakBefore w:val="0"/>
        <w:kinsoku/>
        <w:wordWrap/>
        <w:overflowPunct/>
        <w:topLinePunct w:val="0"/>
        <w:autoSpaceDE/>
        <w:autoSpaceDN/>
        <w:bidi w:val="0"/>
        <w:adjustRightInd w:val="0"/>
        <w:snapToGrid w:val="0"/>
        <w:spacing w:beforeLines="0" w:afterLines="0" w:line="0" w:lineRule="atLeast"/>
        <w:ind w:firstLine="636" w:firstLineChars="200"/>
        <w:textAlignment w:val="auto"/>
        <w:rPr>
          <w:rFonts w:hint="eastAsia" w:ascii="仿宋_GB2312" w:hAnsi="仿宋_GB2312" w:eastAsia="仿宋_GB2312" w:cs="仿宋_GB2312"/>
          <w:color w:val="auto"/>
          <w:sz w:val="32"/>
          <w:szCs w:val="32"/>
          <w:highlight w:val="none"/>
          <w:lang w:eastAsia="zh-CN"/>
        </w:rPr>
      </w:pPr>
      <w:r>
        <w:rPr>
          <w:rFonts w:hint="eastAsia" w:ascii="黑体" w:hAnsi="黑体" w:eastAsia="黑体" w:cs="黑体"/>
          <w:b w:val="0"/>
          <w:bCs/>
          <w:color w:val="auto"/>
          <w:kern w:val="0"/>
          <w:sz w:val="32"/>
          <w:szCs w:val="32"/>
          <w:highlight w:val="none"/>
        </w:rPr>
        <w:t>第</w:t>
      </w:r>
      <w:r>
        <w:rPr>
          <w:rFonts w:hint="eastAsia" w:ascii="黑体" w:hAnsi="黑体" w:eastAsia="黑体" w:cs="黑体"/>
          <w:b w:val="0"/>
          <w:bCs/>
          <w:color w:val="auto"/>
          <w:kern w:val="0"/>
          <w:sz w:val="32"/>
          <w:szCs w:val="32"/>
          <w:highlight w:val="none"/>
          <w:lang w:eastAsia="zh-CN"/>
        </w:rPr>
        <w:t>二十七</w:t>
      </w:r>
      <w:r>
        <w:rPr>
          <w:rFonts w:hint="eastAsia" w:ascii="黑体" w:hAnsi="黑体" w:eastAsia="黑体" w:cs="黑体"/>
          <w:b w:val="0"/>
          <w:bCs/>
          <w:color w:val="auto"/>
          <w:kern w:val="0"/>
          <w:sz w:val="32"/>
          <w:szCs w:val="32"/>
          <w:highlight w:val="none"/>
        </w:rPr>
        <w:t>条</w:t>
      </w:r>
      <w:r>
        <w:rPr>
          <w:rFonts w:hint="eastAsia" w:ascii="仿宋_GB2312" w:eastAsia="仿宋_GB2312" w:cs="宋体"/>
          <w:b/>
          <w:color w:val="auto"/>
          <w:kern w:val="0"/>
          <w:sz w:val="32"/>
          <w:szCs w:val="32"/>
          <w:highlight w:val="none"/>
        </w:rPr>
        <w:t xml:space="preserve"> </w:t>
      </w:r>
      <w:r>
        <w:rPr>
          <w:rFonts w:hint="default" w:ascii="仿宋_GB2312" w:eastAsia="仿宋_GB2312" w:cs="宋体"/>
          <w:b/>
          <w:color w:val="auto"/>
          <w:kern w:val="0"/>
          <w:sz w:val="32"/>
          <w:szCs w:val="32"/>
          <w:highlight w:val="none"/>
          <w:lang w:val="en-US"/>
        </w:rPr>
        <w:t xml:space="preserve"> </w:t>
      </w:r>
      <w:r>
        <w:rPr>
          <w:rFonts w:hint="eastAsia" w:ascii="仿宋_GB2312" w:hAnsi="仿宋_GB2312" w:eastAsia="仿宋_GB2312" w:cs="仿宋_GB2312"/>
          <w:color w:val="auto"/>
          <w:kern w:val="0"/>
          <w:sz w:val="32"/>
          <w:szCs w:val="32"/>
          <w:highlight w:val="none"/>
          <w:lang w:eastAsia="zh-CN"/>
        </w:rPr>
        <w:t>中介机构若</w:t>
      </w:r>
      <w:r>
        <w:rPr>
          <w:rFonts w:hint="eastAsia" w:ascii="仿宋_GB2312" w:eastAsia="仿宋_GB2312" w:cs="宋体"/>
          <w:b w:val="0"/>
          <w:bCs/>
          <w:color w:val="auto"/>
          <w:kern w:val="0"/>
          <w:sz w:val="32"/>
          <w:szCs w:val="32"/>
          <w:highlight w:val="none"/>
          <w:lang w:val="en-US" w:eastAsia="zh-CN"/>
        </w:rPr>
        <w:t>发生</w:t>
      </w:r>
      <w:r>
        <w:rPr>
          <w:rFonts w:hint="eastAsia" w:ascii="仿宋_GB2312" w:hAnsi="仿宋_GB2312" w:eastAsia="仿宋_GB2312" w:cs="仿宋_GB2312"/>
          <w:color w:val="auto"/>
          <w:kern w:val="0"/>
          <w:sz w:val="32"/>
          <w:szCs w:val="32"/>
          <w:highlight w:val="none"/>
        </w:rPr>
        <w:t>下列情形之一的</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sz w:val="32"/>
          <w:szCs w:val="32"/>
          <w:highlight w:val="none"/>
          <w:lang w:eastAsia="zh-CN"/>
        </w:rPr>
        <w:t>三明市财政局立即</w:t>
      </w:r>
      <w:r>
        <w:rPr>
          <w:rFonts w:hint="eastAsia" w:ascii="仿宋_GB2312" w:hAnsi="仿宋_GB2312" w:eastAsia="仿宋_GB2312" w:cs="仿宋_GB2312"/>
          <w:color w:val="auto"/>
          <w:kern w:val="0"/>
          <w:sz w:val="32"/>
          <w:szCs w:val="32"/>
          <w:highlight w:val="none"/>
          <w:lang w:val="en-US" w:eastAsia="zh-CN"/>
        </w:rPr>
        <w:t>与其</w:t>
      </w:r>
      <w:r>
        <w:rPr>
          <w:rFonts w:hint="eastAsia" w:ascii="仿宋_GB2312" w:hAnsi="仿宋_GB2312" w:eastAsia="仿宋_GB2312" w:cs="仿宋_GB2312"/>
          <w:color w:val="auto"/>
          <w:sz w:val="32"/>
          <w:szCs w:val="32"/>
          <w:highlight w:val="none"/>
          <w:lang w:val="en-US" w:eastAsia="zh-CN"/>
        </w:rPr>
        <w:t>解除服务关系，且三年内</w:t>
      </w:r>
      <w:r>
        <w:rPr>
          <w:rFonts w:hint="eastAsia" w:ascii="仿宋_GB2312" w:eastAsia="仿宋_GB2312" w:cs="Times New Roman"/>
          <w:color w:val="auto"/>
          <w:kern w:val="2"/>
          <w:sz w:val="32"/>
          <w:szCs w:val="32"/>
          <w:highlight w:val="none"/>
          <w:lang w:eastAsia="zh-CN"/>
        </w:rPr>
        <w:t>不再委托其参与财政投资评审业务</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numPr>
          <w:ilvl w:val="0"/>
          <w:numId w:val="1"/>
        </w:numPr>
        <w:kinsoku/>
        <w:wordWrap/>
        <w:overflowPunct/>
        <w:topLinePunct w:val="0"/>
        <w:autoSpaceDE/>
        <w:autoSpaceDN/>
        <w:bidi w:val="0"/>
        <w:adjustRightInd w:val="0"/>
        <w:snapToGrid w:val="0"/>
        <w:spacing w:beforeLines="0" w:afterLines="0" w:line="0" w:lineRule="atLeast"/>
        <w:ind w:firstLine="636" w:firstLineChars="200"/>
        <w:textAlignment w:val="auto"/>
        <w:rPr>
          <w:rFonts w:hint="eastAsia" w:ascii="仿宋_GB2312" w:hAnsi="仿宋_GB2312" w:eastAsia="仿宋_GB2312" w:cs="仿宋_GB2312"/>
          <w:color w:val="auto"/>
          <w:spacing w:val="8"/>
          <w:kern w:val="0"/>
          <w:sz w:val="32"/>
          <w:szCs w:val="32"/>
          <w:highlight w:val="none"/>
        </w:rPr>
      </w:pPr>
      <w:r>
        <w:rPr>
          <w:rFonts w:hint="eastAsia" w:ascii="仿宋_GB2312" w:hAnsi="仿宋_GB2312" w:eastAsia="仿宋_GB2312" w:cs="仿宋_GB2312"/>
          <w:color w:val="auto"/>
          <w:sz w:val="32"/>
          <w:szCs w:val="32"/>
          <w:highlight w:val="none"/>
          <w:lang w:eastAsia="zh-CN"/>
        </w:rPr>
        <w:t>违反有关法律、法规，被司法机关处罚或处理的；</w:t>
      </w:r>
    </w:p>
    <w:p>
      <w:pPr>
        <w:keepNext w:val="0"/>
        <w:keepLines w:val="0"/>
        <w:pageBreakBefore w:val="0"/>
        <w:numPr>
          <w:ilvl w:val="0"/>
          <w:numId w:val="1"/>
        </w:numPr>
        <w:kinsoku/>
        <w:wordWrap/>
        <w:overflowPunct/>
        <w:topLinePunct w:val="0"/>
        <w:autoSpaceDE/>
        <w:autoSpaceDN/>
        <w:bidi w:val="0"/>
        <w:adjustRightInd w:val="0"/>
        <w:snapToGrid w:val="0"/>
        <w:spacing w:beforeLines="0" w:afterLines="0" w:line="0" w:lineRule="atLeast"/>
        <w:ind w:firstLine="636" w:firstLineChars="200"/>
        <w:textAlignment w:val="auto"/>
        <w:rPr>
          <w:rFonts w:hint="eastAsia" w:ascii="仿宋_GB2312" w:eastAsia="仿宋_GB2312" w:cs="Times New Roman"/>
          <w:color w:val="auto"/>
          <w:kern w:val="2"/>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被行政监督部门处以责令停业整顿或撤销执业许可的</w:t>
      </w:r>
      <w:r>
        <w:rPr>
          <w:rFonts w:hint="eastAsia" w:ascii="仿宋_GB2312" w:hAnsi="仿宋_GB2312" w:eastAsia="仿宋_GB2312" w:cs="仿宋_GB2312"/>
          <w:color w:val="auto"/>
          <w:spacing w:val="8"/>
          <w:kern w:val="0"/>
          <w:sz w:val="32"/>
          <w:szCs w:val="32"/>
          <w:highlight w:val="none"/>
        </w:rPr>
        <w:t>；</w:t>
      </w:r>
    </w:p>
    <w:p>
      <w:pPr>
        <w:keepNext w:val="0"/>
        <w:keepLines w:val="0"/>
        <w:pageBreakBefore w:val="0"/>
        <w:numPr>
          <w:ilvl w:val="0"/>
          <w:numId w:val="1"/>
        </w:numPr>
        <w:kinsoku/>
        <w:wordWrap/>
        <w:overflowPunct/>
        <w:topLinePunct w:val="0"/>
        <w:autoSpaceDE/>
        <w:autoSpaceDN/>
        <w:bidi w:val="0"/>
        <w:adjustRightInd w:val="0"/>
        <w:snapToGrid w:val="0"/>
        <w:spacing w:beforeLines="0" w:afterLines="0" w:line="0" w:lineRule="atLeast"/>
        <w:ind w:firstLine="636" w:firstLineChars="200"/>
        <w:textAlignment w:val="auto"/>
        <w:rPr>
          <w:rFonts w:hint="eastAsia" w:ascii="仿宋_GB2312" w:hAnsi="仿宋_GB2312" w:eastAsia="仿宋_GB2312" w:cs="仿宋_GB2312"/>
          <w:color w:val="auto"/>
          <w:sz w:val="32"/>
          <w:szCs w:val="32"/>
          <w:highlight w:val="none"/>
        </w:rPr>
      </w:pPr>
      <w:r>
        <w:rPr>
          <w:rFonts w:hint="eastAsia" w:ascii="仿宋_GB2312" w:eastAsia="仿宋_GB2312" w:cs="Times New Roman"/>
          <w:color w:val="auto"/>
          <w:kern w:val="2"/>
          <w:sz w:val="32"/>
          <w:szCs w:val="32"/>
          <w:highlight w:val="none"/>
          <w:lang w:val="en-US" w:eastAsia="zh-CN"/>
        </w:rPr>
        <w:t>巡视巡察、审计等发现存在弄虚作假等行为的；</w:t>
      </w:r>
    </w:p>
    <w:p>
      <w:pPr>
        <w:keepNext w:val="0"/>
        <w:keepLines w:val="0"/>
        <w:pageBreakBefore w:val="0"/>
        <w:widowControl/>
        <w:numPr>
          <w:ilvl w:val="0"/>
          <w:numId w:val="1"/>
        </w:numPr>
        <w:shd w:val="clear" w:color="auto" w:fill="auto"/>
        <w:kinsoku/>
        <w:wordWrap/>
        <w:overflowPunct/>
        <w:topLinePunct w:val="0"/>
        <w:autoSpaceDE/>
        <w:autoSpaceDN/>
        <w:bidi w:val="0"/>
        <w:adjustRightInd w:val="0"/>
        <w:snapToGrid w:val="0"/>
        <w:spacing w:beforeLines="0" w:afterLines="0" w:line="0" w:lineRule="atLeast"/>
        <w:ind w:left="0" w:leftChars="0" w:firstLine="636"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拒绝接受评审中心业务</w:t>
      </w:r>
      <w:r>
        <w:rPr>
          <w:rFonts w:hint="eastAsia" w:ascii="仿宋_GB2312" w:hAnsi="仿宋_GB2312" w:eastAsia="仿宋_GB2312" w:cs="仿宋_GB2312"/>
          <w:color w:val="auto"/>
          <w:sz w:val="32"/>
          <w:szCs w:val="32"/>
          <w:highlight w:val="none"/>
          <w:lang w:eastAsia="zh-CN"/>
        </w:rPr>
        <w:t>考核管理</w:t>
      </w:r>
      <w:r>
        <w:rPr>
          <w:rFonts w:hint="eastAsia" w:ascii="仿宋_GB2312" w:hAnsi="仿宋_GB2312" w:eastAsia="仿宋_GB2312" w:cs="仿宋_GB2312"/>
          <w:color w:val="auto"/>
          <w:sz w:val="32"/>
          <w:szCs w:val="32"/>
          <w:highlight w:val="none"/>
        </w:rPr>
        <w:t>的；</w:t>
      </w:r>
    </w:p>
    <w:p>
      <w:pPr>
        <w:keepNext w:val="0"/>
        <w:keepLines w:val="0"/>
        <w:pageBreakBefore w:val="0"/>
        <w:widowControl/>
        <w:numPr>
          <w:ilvl w:val="0"/>
          <w:numId w:val="1"/>
        </w:numPr>
        <w:shd w:val="clear" w:color="auto" w:fill="auto"/>
        <w:kinsoku/>
        <w:wordWrap/>
        <w:overflowPunct/>
        <w:topLinePunct w:val="0"/>
        <w:autoSpaceDE/>
        <w:autoSpaceDN/>
        <w:bidi w:val="0"/>
        <w:adjustRightInd w:val="0"/>
        <w:snapToGrid w:val="0"/>
        <w:spacing w:beforeLines="0" w:afterLines="0" w:line="0" w:lineRule="atLeast"/>
        <w:ind w:left="0" w:leftChars="0" w:firstLine="636" w:firstLineChars="200"/>
        <w:textAlignment w:val="auto"/>
        <w:rPr>
          <w:rFonts w:hint="eastAsia" w:ascii="仿宋_GB2312" w:eastAsia="仿宋_GB2312" w:cs="Times New Roman"/>
          <w:color w:val="auto"/>
          <w:kern w:val="2"/>
          <w:sz w:val="32"/>
          <w:szCs w:val="32"/>
          <w:highlight w:val="none"/>
          <w:lang w:val="en-US" w:eastAsia="zh-CN"/>
        </w:rPr>
      </w:pPr>
      <w:r>
        <w:rPr>
          <w:rFonts w:hint="eastAsia" w:ascii="仿宋_GB2312" w:eastAsia="仿宋_GB2312" w:cs="Times New Roman"/>
          <w:color w:val="auto"/>
          <w:kern w:val="2"/>
          <w:sz w:val="32"/>
          <w:szCs w:val="32"/>
          <w:highlight w:val="none"/>
          <w:lang w:val="en-US" w:eastAsia="zh-CN"/>
        </w:rPr>
        <w:t>有其他违法违纪行为的。</w:t>
      </w:r>
    </w:p>
    <w:p>
      <w:pPr>
        <w:keepNext w:val="0"/>
        <w:keepLines w:val="0"/>
        <w:pageBreakBefore w:val="0"/>
        <w:kinsoku/>
        <w:wordWrap/>
        <w:overflowPunct/>
        <w:topLinePunct w:val="0"/>
        <w:autoSpaceDE/>
        <w:autoSpaceDN/>
        <w:bidi w:val="0"/>
        <w:adjustRightInd w:val="0"/>
        <w:snapToGrid w:val="0"/>
        <w:spacing w:beforeLines="0" w:afterLines="0" w:line="0" w:lineRule="atLeast"/>
        <w:ind w:firstLine="636"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b w:val="0"/>
          <w:bCs/>
          <w:color w:val="auto"/>
          <w:kern w:val="0"/>
          <w:sz w:val="32"/>
          <w:szCs w:val="32"/>
          <w:highlight w:val="none"/>
        </w:rPr>
        <w:t>第</w:t>
      </w:r>
      <w:r>
        <w:rPr>
          <w:rFonts w:hint="eastAsia" w:ascii="黑体" w:hAnsi="黑体" w:eastAsia="黑体" w:cs="黑体"/>
          <w:b w:val="0"/>
          <w:bCs/>
          <w:color w:val="auto"/>
          <w:kern w:val="0"/>
          <w:sz w:val="32"/>
          <w:szCs w:val="32"/>
          <w:highlight w:val="none"/>
          <w:lang w:eastAsia="zh-CN"/>
        </w:rPr>
        <w:t>二十八</w:t>
      </w:r>
      <w:r>
        <w:rPr>
          <w:rFonts w:hint="eastAsia" w:ascii="黑体" w:hAnsi="黑体" w:eastAsia="黑体" w:cs="黑体"/>
          <w:b w:val="0"/>
          <w:bCs/>
          <w:color w:val="auto"/>
          <w:kern w:val="0"/>
          <w:sz w:val="32"/>
          <w:szCs w:val="32"/>
          <w:highlight w:val="none"/>
        </w:rPr>
        <w:t>条</w:t>
      </w:r>
      <w:r>
        <w:rPr>
          <w:rFonts w:hint="eastAsia" w:ascii="仿宋_GB2312" w:eastAsia="仿宋_GB2312" w:cs="宋体"/>
          <w:b/>
          <w:color w:val="auto"/>
          <w:kern w:val="0"/>
          <w:sz w:val="32"/>
          <w:szCs w:val="32"/>
          <w:highlight w:val="none"/>
        </w:rPr>
        <w:t xml:space="preserve"> </w:t>
      </w:r>
      <w:r>
        <w:rPr>
          <w:rFonts w:hint="default" w:ascii="仿宋_GB2312" w:eastAsia="仿宋_GB2312" w:cs="宋体"/>
          <w:b/>
          <w:color w:val="auto"/>
          <w:kern w:val="0"/>
          <w:sz w:val="32"/>
          <w:szCs w:val="32"/>
          <w:highlight w:val="none"/>
          <w:lang w:val="en-US"/>
        </w:rPr>
        <w:t xml:space="preserve"> </w:t>
      </w:r>
      <w:r>
        <w:rPr>
          <w:rFonts w:hint="eastAsia" w:ascii="仿宋_GB2312" w:hAnsi="仿宋_GB2312" w:eastAsia="仿宋_GB2312" w:cs="仿宋_GB2312"/>
          <w:color w:val="auto"/>
          <w:kern w:val="0"/>
          <w:sz w:val="32"/>
          <w:szCs w:val="32"/>
          <w:highlight w:val="none"/>
          <w:lang w:eastAsia="zh-CN"/>
        </w:rPr>
        <w:t>中介机构若</w:t>
      </w:r>
      <w:r>
        <w:rPr>
          <w:rFonts w:hint="eastAsia" w:ascii="仿宋_GB2312" w:eastAsia="仿宋_GB2312" w:cs="宋体"/>
          <w:b w:val="0"/>
          <w:bCs/>
          <w:color w:val="auto"/>
          <w:kern w:val="0"/>
          <w:sz w:val="32"/>
          <w:szCs w:val="32"/>
          <w:highlight w:val="none"/>
          <w:lang w:val="en-US" w:eastAsia="zh-CN"/>
        </w:rPr>
        <w:t>发生</w:t>
      </w:r>
      <w:r>
        <w:rPr>
          <w:rFonts w:hint="eastAsia" w:ascii="仿宋_GB2312" w:hAnsi="仿宋_GB2312" w:eastAsia="仿宋_GB2312" w:cs="仿宋_GB2312"/>
          <w:color w:val="auto"/>
          <w:kern w:val="0"/>
          <w:sz w:val="32"/>
          <w:szCs w:val="32"/>
          <w:highlight w:val="none"/>
        </w:rPr>
        <w:t>下列情形之一的</w:t>
      </w:r>
      <w:r>
        <w:rPr>
          <w:rFonts w:hint="eastAsia" w:ascii="仿宋_GB2312" w:hAnsi="仿宋_GB2312" w:eastAsia="仿宋_GB2312" w:cs="仿宋_GB2312"/>
          <w:color w:val="auto"/>
          <w:kern w:val="0"/>
          <w:sz w:val="32"/>
          <w:szCs w:val="32"/>
          <w:highlight w:val="none"/>
          <w:lang w:eastAsia="zh-CN"/>
        </w:rPr>
        <w:t>，经核实后</w:t>
      </w:r>
      <w:r>
        <w:rPr>
          <w:rFonts w:hint="eastAsia" w:ascii="仿宋_GB2312" w:hAnsi="仿宋_GB2312" w:eastAsia="仿宋_GB2312" w:cs="仿宋_GB2312"/>
          <w:color w:val="auto"/>
          <w:sz w:val="32"/>
          <w:szCs w:val="32"/>
          <w:highlight w:val="none"/>
          <w:lang w:eastAsia="zh-CN"/>
        </w:rPr>
        <w:t>三明市财政局</w:t>
      </w:r>
      <w:r>
        <w:rPr>
          <w:rFonts w:hint="eastAsia" w:ascii="仿宋_GB2312" w:hAnsi="仿宋_GB2312" w:eastAsia="仿宋_GB2312" w:cs="仿宋_GB2312"/>
          <w:color w:val="auto"/>
          <w:kern w:val="0"/>
          <w:sz w:val="32"/>
          <w:szCs w:val="32"/>
          <w:highlight w:val="none"/>
          <w:lang w:val="en-US" w:eastAsia="zh-CN"/>
        </w:rPr>
        <w:t>与其</w:t>
      </w:r>
      <w:r>
        <w:rPr>
          <w:rFonts w:hint="eastAsia" w:ascii="仿宋_GB2312" w:hAnsi="仿宋_GB2312" w:eastAsia="仿宋_GB2312" w:cs="仿宋_GB2312"/>
          <w:color w:val="auto"/>
          <w:sz w:val="32"/>
          <w:szCs w:val="32"/>
          <w:highlight w:val="none"/>
          <w:lang w:val="en-US" w:eastAsia="zh-CN"/>
        </w:rPr>
        <w:t>解除服务关系，并追究其相应的经济和法律责任，且三年内</w:t>
      </w:r>
      <w:r>
        <w:rPr>
          <w:rFonts w:hint="eastAsia" w:ascii="仿宋_GB2312" w:eastAsia="仿宋_GB2312" w:cs="Times New Roman"/>
          <w:color w:val="auto"/>
          <w:kern w:val="2"/>
          <w:sz w:val="32"/>
          <w:szCs w:val="32"/>
          <w:highlight w:val="none"/>
          <w:lang w:eastAsia="zh-CN"/>
        </w:rPr>
        <w:t>不再委托其参与财政投资评审业务</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numPr>
          <w:ilvl w:val="0"/>
          <w:numId w:val="2"/>
        </w:numPr>
        <w:kinsoku/>
        <w:wordWrap/>
        <w:overflowPunct/>
        <w:topLinePunct w:val="0"/>
        <w:autoSpaceDE/>
        <w:autoSpaceDN/>
        <w:bidi w:val="0"/>
        <w:adjustRightInd w:val="0"/>
        <w:snapToGrid w:val="0"/>
        <w:spacing w:beforeLines="0" w:afterLines="0" w:line="0" w:lineRule="atLeast"/>
        <w:ind w:firstLine="636"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在企业资质、业绩、奖惩情况、执业人员等方面弄虚作假，提供不真实信息资料的；</w:t>
      </w:r>
    </w:p>
    <w:p>
      <w:pPr>
        <w:keepNext w:val="0"/>
        <w:keepLines w:val="0"/>
        <w:pageBreakBefore w:val="0"/>
        <w:numPr>
          <w:ilvl w:val="0"/>
          <w:numId w:val="2"/>
        </w:numPr>
        <w:kinsoku/>
        <w:wordWrap/>
        <w:overflowPunct/>
        <w:topLinePunct w:val="0"/>
        <w:autoSpaceDE/>
        <w:autoSpaceDN/>
        <w:bidi w:val="0"/>
        <w:adjustRightInd w:val="0"/>
        <w:snapToGrid w:val="0"/>
        <w:spacing w:beforeLines="0" w:afterLines="0" w:line="0" w:lineRule="atLeast"/>
        <w:ind w:firstLine="636" w:firstLineChars="200"/>
        <w:textAlignment w:val="auto"/>
        <w:rPr>
          <w:rFonts w:hint="eastAsia" w:ascii="仿宋_GB2312" w:hAnsi="仿宋_GB2312" w:eastAsia="仿宋_GB2312" w:cs="仿宋_GB2312"/>
          <w:color w:val="auto"/>
          <w:sz w:val="32"/>
          <w:szCs w:val="32"/>
          <w:highlight w:val="none"/>
        </w:rPr>
      </w:pPr>
      <w:r>
        <w:rPr>
          <w:rFonts w:hint="eastAsia" w:ascii="仿宋_GB2312" w:eastAsia="仿宋_GB2312" w:cs="Times New Roman"/>
          <w:color w:val="auto"/>
          <w:kern w:val="2"/>
          <w:sz w:val="32"/>
          <w:szCs w:val="32"/>
          <w:highlight w:val="none"/>
          <w:lang w:val="en-US" w:eastAsia="zh-CN"/>
        </w:rPr>
        <w:t>未经三明市财政局同意将受托评审项目转包或分包给其他单位或个人的；</w:t>
      </w:r>
    </w:p>
    <w:p>
      <w:pPr>
        <w:keepNext w:val="0"/>
        <w:keepLines w:val="0"/>
        <w:pageBreakBefore w:val="0"/>
        <w:numPr>
          <w:ilvl w:val="0"/>
          <w:numId w:val="2"/>
        </w:numPr>
        <w:kinsoku/>
        <w:wordWrap/>
        <w:overflowPunct/>
        <w:topLinePunct w:val="0"/>
        <w:autoSpaceDE/>
        <w:autoSpaceDN/>
        <w:bidi w:val="0"/>
        <w:adjustRightInd w:val="0"/>
        <w:snapToGrid w:val="0"/>
        <w:spacing w:beforeLines="0" w:afterLines="0" w:line="0" w:lineRule="atLeast"/>
        <w:ind w:firstLine="636" w:firstLineChars="200"/>
        <w:textAlignment w:val="auto"/>
        <w:rPr>
          <w:rFonts w:hint="eastAsia" w:ascii="仿宋_GB2312" w:hAnsi="仿宋_GB2312" w:eastAsia="仿宋_GB2312" w:cs="仿宋_GB2312"/>
          <w:color w:val="auto"/>
          <w:spacing w:val="8"/>
          <w:kern w:val="0"/>
          <w:sz w:val="32"/>
          <w:szCs w:val="32"/>
          <w:highlight w:val="none"/>
        </w:rPr>
      </w:pPr>
      <w:r>
        <w:rPr>
          <w:rFonts w:hint="eastAsia" w:ascii="仿宋_GB2312" w:hAnsi="仿宋_GB2312" w:eastAsia="仿宋_GB2312" w:cs="仿宋_GB2312"/>
          <w:color w:val="auto"/>
          <w:sz w:val="32"/>
          <w:szCs w:val="32"/>
          <w:highlight w:val="none"/>
        </w:rPr>
        <w:t>背离职业道德</w:t>
      </w:r>
      <w:r>
        <w:rPr>
          <w:rFonts w:hint="eastAsia" w:ascii="仿宋_GB2312" w:hAnsi="仿宋_GB2312" w:eastAsia="仿宋_GB2312" w:cs="仿宋_GB2312"/>
          <w:color w:val="auto"/>
          <w:sz w:val="32"/>
          <w:szCs w:val="32"/>
          <w:highlight w:val="none"/>
          <w:lang w:eastAsia="zh-CN"/>
        </w:rPr>
        <w:t>，</w:t>
      </w:r>
      <w:r>
        <w:rPr>
          <w:rFonts w:hint="eastAsia" w:ascii="仿宋_GB2312" w:hAnsi="仿宋" w:eastAsia="仿宋_GB2312" w:cs="宋体"/>
          <w:color w:val="auto"/>
          <w:kern w:val="0"/>
          <w:sz w:val="32"/>
          <w:szCs w:val="32"/>
          <w:highlight w:val="none"/>
          <w:u w:val="none"/>
          <w:lang w:val="en-US" w:eastAsia="zh-CN"/>
        </w:rPr>
        <w:t>利用受托权利为单位或个人谋取不正当利益，或</w:t>
      </w:r>
      <w:r>
        <w:rPr>
          <w:rFonts w:hint="eastAsia" w:ascii="仿宋_GB2312" w:hAnsi="仿宋_GB2312" w:eastAsia="仿宋_GB2312" w:cs="仿宋_GB2312"/>
          <w:color w:val="auto"/>
          <w:sz w:val="32"/>
          <w:szCs w:val="32"/>
          <w:highlight w:val="none"/>
        </w:rPr>
        <w:t>与他人串通，损害国家利益、社会公共利益或者他人合法权益</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违法违规</w:t>
      </w:r>
      <w:r>
        <w:rPr>
          <w:rFonts w:hint="eastAsia" w:ascii="仿宋_GB2312" w:hAnsi="仿宋_GB2312" w:eastAsia="仿宋_GB2312" w:cs="仿宋_GB2312"/>
          <w:color w:val="auto"/>
          <w:sz w:val="32"/>
          <w:szCs w:val="32"/>
          <w:highlight w:val="none"/>
          <w:lang w:eastAsia="zh-CN"/>
        </w:rPr>
        <w:t>行为的</w:t>
      </w:r>
      <w:r>
        <w:rPr>
          <w:rFonts w:hint="eastAsia" w:ascii="仿宋_GB2312" w:hAnsi="仿宋_GB2312" w:eastAsia="仿宋_GB2312" w:cs="仿宋_GB2312"/>
          <w:color w:val="auto"/>
          <w:sz w:val="32"/>
          <w:szCs w:val="32"/>
          <w:highlight w:val="none"/>
        </w:rPr>
        <w:t>；</w:t>
      </w:r>
    </w:p>
    <w:p>
      <w:pPr>
        <w:keepNext w:val="0"/>
        <w:keepLines w:val="0"/>
        <w:pageBreakBefore w:val="0"/>
        <w:numPr>
          <w:ilvl w:val="0"/>
          <w:numId w:val="2"/>
        </w:numPr>
        <w:kinsoku/>
        <w:wordWrap/>
        <w:overflowPunct/>
        <w:topLinePunct w:val="0"/>
        <w:autoSpaceDE/>
        <w:autoSpaceDN/>
        <w:bidi w:val="0"/>
        <w:adjustRightInd w:val="0"/>
        <w:snapToGrid w:val="0"/>
        <w:spacing w:beforeLines="0" w:afterLines="0" w:line="0" w:lineRule="atLeast"/>
        <w:ind w:firstLine="636" w:firstLineChars="200"/>
        <w:textAlignment w:val="auto"/>
        <w:rPr>
          <w:rFonts w:hint="eastAsia" w:ascii="仿宋_GB2312" w:hAnsi="仿宋_GB2312" w:eastAsia="仿宋_GB2312" w:cs="仿宋_GB2312"/>
          <w:color w:val="auto"/>
          <w:spacing w:val="8"/>
          <w:kern w:val="0"/>
          <w:sz w:val="32"/>
          <w:szCs w:val="32"/>
          <w:highlight w:val="none"/>
        </w:rPr>
      </w:pPr>
      <w:r>
        <w:rPr>
          <w:rFonts w:hint="eastAsia" w:ascii="仿宋_GB2312" w:hAnsi="仿宋_GB2312" w:eastAsia="仿宋_GB2312" w:cs="仿宋_GB2312"/>
          <w:color w:val="auto"/>
          <w:sz w:val="32"/>
          <w:szCs w:val="32"/>
          <w:highlight w:val="none"/>
          <w:lang w:eastAsia="zh-CN"/>
        </w:rPr>
        <w:t>评审</w:t>
      </w:r>
      <w:r>
        <w:rPr>
          <w:rFonts w:hint="eastAsia" w:ascii="仿宋_GB2312" w:hAnsi="仿宋_GB2312" w:eastAsia="仿宋_GB2312" w:cs="仿宋_GB2312"/>
          <w:color w:val="auto"/>
          <w:sz w:val="32"/>
          <w:szCs w:val="32"/>
          <w:highlight w:val="none"/>
        </w:rPr>
        <w:t>工作</w:t>
      </w:r>
      <w:r>
        <w:rPr>
          <w:rFonts w:hint="eastAsia" w:ascii="仿宋_GB2312" w:hAnsi="仿宋_GB2312" w:eastAsia="仿宋_GB2312" w:cs="仿宋_GB2312"/>
          <w:color w:val="auto"/>
          <w:sz w:val="32"/>
          <w:szCs w:val="32"/>
          <w:highlight w:val="none"/>
          <w:lang w:eastAsia="zh-CN"/>
        </w:rPr>
        <w:t>出现重大</w:t>
      </w:r>
      <w:r>
        <w:rPr>
          <w:rFonts w:hint="eastAsia" w:ascii="仿宋_GB2312" w:hAnsi="仿宋_GB2312" w:eastAsia="仿宋_GB2312" w:cs="仿宋_GB2312"/>
          <w:color w:val="auto"/>
          <w:sz w:val="32"/>
          <w:szCs w:val="32"/>
          <w:highlight w:val="none"/>
        </w:rPr>
        <w:t>失误</w:t>
      </w:r>
      <w:r>
        <w:rPr>
          <w:rFonts w:hint="eastAsia" w:ascii="仿宋_GB2312" w:hAnsi="仿宋_GB2312" w:eastAsia="仿宋_GB2312" w:cs="仿宋_GB2312"/>
          <w:color w:val="auto"/>
          <w:sz w:val="32"/>
          <w:szCs w:val="32"/>
          <w:highlight w:val="none"/>
          <w:lang w:eastAsia="zh-CN"/>
        </w:rPr>
        <w:t>，造成</w:t>
      </w:r>
      <w:r>
        <w:rPr>
          <w:rFonts w:hint="eastAsia" w:ascii="仿宋_GB2312" w:hAnsi="仿宋_GB2312" w:eastAsia="仿宋_GB2312" w:cs="仿宋_GB2312"/>
          <w:color w:val="auto"/>
          <w:sz w:val="32"/>
          <w:szCs w:val="32"/>
          <w:highlight w:val="none"/>
        </w:rPr>
        <w:t>重大</w:t>
      </w:r>
      <w:r>
        <w:rPr>
          <w:rFonts w:hint="eastAsia" w:ascii="仿宋_GB2312" w:hAnsi="仿宋_GB2312" w:eastAsia="仿宋_GB2312" w:cs="仿宋_GB2312"/>
          <w:color w:val="auto"/>
          <w:sz w:val="32"/>
          <w:szCs w:val="32"/>
          <w:highlight w:val="none"/>
          <w:lang w:eastAsia="zh-CN"/>
        </w:rPr>
        <w:t>经济</w:t>
      </w:r>
      <w:r>
        <w:rPr>
          <w:rFonts w:hint="eastAsia" w:ascii="仿宋_GB2312" w:hAnsi="仿宋_GB2312" w:eastAsia="仿宋_GB2312" w:cs="仿宋_GB2312"/>
          <w:color w:val="auto"/>
          <w:sz w:val="32"/>
          <w:szCs w:val="32"/>
          <w:highlight w:val="none"/>
        </w:rPr>
        <w:t>损失或</w:t>
      </w:r>
      <w:r>
        <w:rPr>
          <w:rFonts w:hint="eastAsia" w:ascii="仿宋_GB2312" w:hAnsi="仿宋_GB2312" w:eastAsia="仿宋_GB2312" w:cs="仿宋_GB2312"/>
          <w:color w:val="auto"/>
          <w:sz w:val="32"/>
          <w:szCs w:val="32"/>
          <w:highlight w:val="none"/>
          <w:lang w:eastAsia="zh-CN"/>
        </w:rPr>
        <w:t>社会影响恶劣</w:t>
      </w:r>
      <w:r>
        <w:rPr>
          <w:rFonts w:hint="eastAsia" w:ascii="仿宋_GB2312" w:hAnsi="仿宋_GB2312" w:eastAsia="仿宋_GB2312" w:cs="仿宋_GB2312"/>
          <w:color w:val="auto"/>
          <w:sz w:val="32"/>
          <w:szCs w:val="32"/>
          <w:highlight w:val="none"/>
        </w:rPr>
        <w:t>的；</w:t>
      </w:r>
    </w:p>
    <w:p>
      <w:pPr>
        <w:keepNext w:val="0"/>
        <w:keepLines w:val="0"/>
        <w:pageBreakBefore w:val="0"/>
        <w:numPr>
          <w:ilvl w:val="0"/>
          <w:numId w:val="2"/>
        </w:numPr>
        <w:kinsoku/>
        <w:wordWrap/>
        <w:overflowPunct/>
        <w:topLinePunct w:val="0"/>
        <w:autoSpaceDE/>
        <w:autoSpaceDN/>
        <w:bidi w:val="0"/>
        <w:adjustRightInd w:val="0"/>
        <w:snapToGrid w:val="0"/>
        <w:spacing w:beforeLines="0" w:afterLines="0" w:line="0" w:lineRule="atLeast"/>
        <w:ind w:firstLine="636" w:firstLineChars="200"/>
        <w:textAlignment w:val="auto"/>
        <w:rPr>
          <w:rFonts w:hint="eastAsia" w:ascii="仿宋_GB2312" w:hAnsi="仿宋_GB2312" w:eastAsia="仿宋_GB2312" w:cs="仿宋_GB2312"/>
          <w:color w:val="auto"/>
          <w:spacing w:val="8"/>
          <w:kern w:val="0"/>
          <w:sz w:val="32"/>
          <w:szCs w:val="32"/>
          <w:highlight w:val="none"/>
        </w:rPr>
      </w:pPr>
      <w:r>
        <w:rPr>
          <w:rFonts w:hint="eastAsia" w:ascii="仿宋_GB2312" w:eastAsia="仿宋_GB2312" w:cs="Times New Roman"/>
          <w:color w:val="auto"/>
          <w:kern w:val="2"/>
          <w:sz w:val="32"/>
          <w:szCs w:val="32"/>
          <w:highlight w:val="none"/>
          <w:lang w:val="en-US" w:eastAsia="zh-CN"/>
        </w:rPr>
        <w:t>故意隐瞒评审发现的问题，提供内容不实或虚假评审报告</w:t>
      </w:r>
      <w:r>
        <w:rPr>
          <w:rFonts w:hint="eastAsia" w:ascii="仿宋_GB2312" w:hAnsi="仿宋_GB2312" w:eastAsia="仿宋_GB2312" w:cs="仿宋_GB2312"/>
          <w:color w:val="auto"/>
          <w:sz w:val="32"/>
          <w:szCs w:val="32"/>
          <w:highlight w:val="none"/>
        </w:rPr>
        <w:t>的；</w:t>
      </w:r>
    </w:p>
    <w:p>
      <w:pPr>
        <w:keepNext w:val="0"/>
        <w:keepLines w:val="0"/>
        <w:pageBreakBefore w:val="0"/>
        <w:numPr>
          <w:ilvl w:val="0"/>
          <w:numId w:val="2"/>
        </w:numPr>
        <w:kinsoku/>
        <w:wordWrap/>
        <w:overflowPunct/>
        <w:topLinePunct w:val="0"/>
        <w:autoSpaceDE/>
        <w:autoSpaceDN/>
        <w:bidi w:val="0"/>
        <w:adjustRightInd w:val="0"/>
        <w:snapToGrid w:val="0"/>
        <w:spacing w:beforeLines="0" w:afterLines="0" w:line="0" w:lineRule="atLeast"/>
        <w:ind w:firstLine="636"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违反保密纪律或者回避规定</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pacing w:val="8"/>
          <w:kern w:val="0"/>
          <w:sz w:val="32"/>
          <w:szCs w:val="32"/>
          <w:highlight w:val="none"/>
        </w:rPr>
        <w:t>；</w:t>
      </w:r>
    </w:p>
    <w:p>
      <w:pPr>
        <w:keepNext w:val="0"/>
        <w:keepLines w:val="0"/>
        <w:pageBreakBefore w:val="0"/>
        <w:numPr>
          <w:ilvl w:val="0"/>
          <w:numId w:val="2"/>
        </w:numPr>
        <w:kinsoku/>
        <w:wordWrap/>
        <w:overflowPunct/>
        <w:topLinePunct w:val="0"/>
        <w:autoSpaceDE/>
        <w:autoSpaceDN/>
        <w:bidi w:val="0"/>
        <w:adjustRightInd w:val="0"/>
        <w:snapToGrid w:val="0"/>
        <w:spacing w:beforeLines="0" w:afterLines="0" w:line="0" w:lineRule="atLeast"/>
        <w:ind w:firstLine="636"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无正当理由</w:t>
      </w:r>
      <w:r>
        <w:rPr>
          <w:rFonts w:hint="eastAsia" w:ascii="仿宋_GB2312" w:hAnsi="仿宋_GB2312" w:eastAsia="仿宋_GB2312" w:cs="仿宋_GB2312"/>
          <w:color w:val="auto"/>
          <w:sz w:val="32"/>
          <w:szCs w:val="32"/>
          <w:highlight w:val="none"/>
        </w:rPr>
        <w:t>不接受</w:t>
      </w:r>
      <w:r>
        <w:rPr>
          <w:rFonts w:hint="eastAsia" w:ascii="仿宋_GB2312" w:hAnsi="仿宋_GB2312" w:eastAsia="仿宋_GB2312" w:cs="仿宋_GB2312"/>
          <w:color w:val="auto"/>
          <w:sz w:val="32"/>
          <w:szCs w:val="32"/>
          <w:highlight w:val="none"/>
          <w:lang w:eastAsia="zh-CN"/>
        </w:rPr>
        <w:t>或拖延接受委托</w:t>
      </w:r>
      <w:r>
        <w:rPr>
          <w:rFonts w:hint="eastAsia" w:ascii="仿宋_GB2312" w:hAnsi="仿宋_GB2312" w:eastAsia="仿宋_GB2312" w:cs="仿宋_GB2312"/>
          <w:color w:val="auto"/>
          <w:sz w:val="32"/>
          <w:szCs w:val="32"/>
          <w:highlight w:val="none"/>
        </w:rPr>
        <w:t>评审任务</w:t>
      </w:r>
      <w:r>
        <w:rPr>
          <w:rFonts w:hint="eastAsia" w:ascii="仿宋_GB2312" w:hAnsi="仿宋_GB2312" w:eastAsia="仿宋_GB2312" w:cs="仿宋_GB2312"/>
          <w:color w:val="auto"/>
          <w:kern w:val="0"/>
          <w:sz w:val="32"/>
          <w:szCs w:val="32"/>
          <w:highlight w:val="none"/>
        </w:rPr>
        <w:t>的</w:t>
      </w:r>
      <w:r>
        <w:rPr>
          <w:rFonts w:hint="eastAsia" w:ascii="仿宋_GB2312" w:hAnsi="仿宋_GB2312" w:eastAsia="仿宋_GB2312" w:cs="仿宋_GB2312"/>
          <w:color w:val="auto"/>
          <w:sz w:val="32"/>
          <w:szCs w:val="32"/>
          <w:highlight w:val="none"/>
        </w:rPr>
        <w:t>；</w:t>
      </w:r>
    </w:p>
    <w:p>
      <w:pPr>
        <w:keepNext w:val="0"/>
        <w:keepLines w:val="0"/>
        <w:pageBreakBefore w:val="0"/>
        <w:numPr>
          <w:ilvl w:val="0"/>
          <w:numId w:val="2"/>
        </w:numPr>
        <w:kinsoku/>
        <w:wordWrap/>
        <w:overflowPunct/>
        <w:topLinePunct w:val="0"/>
        <w:autoSpaceDE/>
        <w:autoSpaceDN/>
        <w:bidi w:val="0"/>
        <w:adjustRightInd w:val="0"/>
        <w:snapToGrid w:val="0"/>
        <w:spacing w:beforeLines="0" w:afterLines="0" w:line="0" w:lineRule="atLeast"/>
        <w:ind w:firstLine="636" w:firstLineChars="200"/>
        <w:textAlignment w:val="auto"/>
        <w:rPr>
          <w:rFonts w:hint="eastAsia" w:ascii="仿宋_GB2312" w:eastAsia="仿宋_GB2312" w:cs="Times New Roman"/>
          <w:color w:val="auto"/>
          <w:kern w:val="2"/>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违反</w:t>
      </w:r>
      <w:r>
        <w:rPr>
          <w:rFonts w:hint="eastAsia" w:ascii="仿宋_GB2312" w:hAnsi="仿宋" w:eastAsia="仿宋_GB2312" w:cs="宋体"/>
          <w:color w:val="auto"/>
          <w:kern w:val="0"/>
          <w:sz w:val="32"/>
          <w:szCs w:val="32"/>
          <w:highlight w:val="none"/>
          <w:u w:val="none"/>
          <w:lang w:eastAsia="zh-CN"/>
        </w:rPr>
        <w:t>《委托评审合同》有关要求</w:t>
      </w:r>
      <w:r>
        <w:rPr>
          <w:rFonts w:hint="eastAsia" w:ascii="仿宋_GB2312" w:eastAsia="仿宋_GB2312" w:cs="Times New Roman"/>
          <w:color w:val="auto"/>
          <w:kern w:val="2"/>
          <w:sz w:val="32"/>
          <w:szCs w:val="32"/>
          <w:highlight w:val="none"/>
          <w:lang w:val="en-US" w:eastAsia="zh-CN"/>
        </w:rPr>
        <w:t>的。</w:t>
      </w:r>
    </w:p>
    <w:p>
      <w:pPr>
        <w:keepNext w:val="0"/>
        <w:keepLines w:val="0"/>
        <w:pageBreakBefore w:val="0"/>
        <w:widowControl/>
        <w:shd w:val="clear" w:color="auto" w:fill="auto"/>
        <w:kinsoku/>
        <w:wordWrap/>
        <w:overflowPunct/>
        <w:topLinePunct w:val="0"/>
        <w:autoSpaceDE/>
        <w:autoSpaceDN/>
        <w:bidi w:val="0"/>
        <w:adjustRightInd w:val="0"/>
        <w:snapToGrid w:val="0"/>
        <w:spacing w:beforeLines="0" w:afterLines="0" w:line="0" w:lineRule="atLeast"/>
        <w:ind w:firstLine="636" w:firstLineChars="200"/>
        <w:textAlignment w:val="auto"/>
        <w:rPr>
          <w:rFonts w:hint="eastAsia" w:ascii="仿宋_GB2312" w:eastAsia="仿宋_GB2312" w:cs="Times New Roman"/>
          <w:color w:val="auto"/>
          <w:kern w:val="2"/>
          <w:sz w:val="32"/>
          <w:szCs w:val="32"/>
          <w:highlight w:val="none"/>
          <w:lang w:val="en-US" w:eastAsia="zh-CN"/>
        </w:rPr>
      </w:pPr>
      <w:r>
        <w:rPr>
          <w:rFonts w:hint="eastAsia" w:ascii="黑体" w:hAnsi="黑体" w:eastAsia="黑体" w:cs="黑体"/>
          <w:b w:val="0"/>
          <w:bCs/>
          <w:color w:val="auto"/>
          <w:kern w:val="0"/>
          <w:sz w:val="32"/>
          <w:szCs w:val="32"/>
          <w:highlight w:val="none"/>
          <w:lang w:val="en-US" w:eastAsia="zh-CN"/>
        </w:rPr>
        <w:t>第二十九条</w:t>
      </w:r>
      <w:r>
        <w:rPr>
          <w:rFonts w:hint="eastAsia" w:ascii="仿宋_GB2312" w:eastAsia="仿宋_GB2312" w:cs="Times New Roman"/>
          <w:color w:val="auto"/>
          <w:kern w:val="2"/>
          <w:sz w:val="32"/>
          <w:szCs w:val="32"/>
          <w:highlight w:val="none"/>
          <w:lang w:val="en-US" w:eastAsia="zh-CN"/>
        </w:rPr>
        <w:t xml:space="preserve">  中介机构在财政投资评审工作中存在违反财政法律法规行为的，财政部门将按照国务院《财政违法行为处罚处分条例》予以处理，并视情形，移送纪检监察或司法机关，依法追究刑事责任。</w:t>
      </w:r>
    </w:p>
    <w:p>
      <w:pPr>
        <w:keepNext w:val="0"/>
        <w:keepLines w:val="0"/>
        <w:pageBreakBefore w:val="0"/>
        <w:kinsoku/>
        <w:wordWrap/>
        <w:overflowPunct/>
        <w:topLinePunct w:val="0"/>
        <w:autoSpaceDE/>
        <w:autoSpaceDN/>
        <w:bidi w:val="0"/>
        <w:adjustRightInd w:val="0"/>
        <w:snapToGrid w:val="0"/>
        <w:spacing w:before="313" w:beforeLines="100" w:after="313" w:afterLines="100" w:line="0" w:lineRule="atLeast"/>
        <w:ind w:firstLine="0" w:firstLineChars="0"/>
        <w:jc w:val="center"/>
        <w:textAlignment w:val="auto"/>
        <w:rPr>
          <w:rFonts w:hint="eastAsia" w:ascii="黑体" w:hAnsi="黑体" w:eastAsia="黑体" w:cs="Times New Roman"/>
          <w:b w:val="0"/>
          <w:bCs/>
          <w:color w:val="auto"/>
          <w:sz w:val="32"/>
          <w:highlight w:val="none"/>
          <w:lang w:eastAsia="zh-CN"/>
        </w:rPr>
      </w:pPr>
      <w:r>
        <w:rPr>
          <w:rFonts w:hint="eastAsia" w:ascii="黑体" w:hAnsi="黑体" w:eastAsia="黑体" w:cs="Times New Roman"/>
          <w:b w:val="0"/>
          <w:bCs/>
          <w:color w:val="auto"/>
          <w:sz w:val="32"/>
          <w:highlight w:val="none"/>
          <w:lang w:eastAsia="zh-CN"/>
        </w:rPr>
        <w:t>第八章    附则</w:t>
      </w:r>
    </w:p>
    <w:p>
      <w:pPr>
        <w:keepNext w:val="0"/>
        <w:keepLines w:val="0"/>
        <w:pageBreakBefore w:val="0"/>
        <w:widowControl/>
        <w:shd w:val="clear" w:color="auto" w:fill="auto"/>
        <w:kinsoku/>
        <w:wordWrap/>
        <w:overflowPunct/>
        <w:topLinePunct w:val="0"/>
        <w:autoSpaceDE/>
        <w:autoSpaceDN/>
        <w:bidi w:val="0"/>
        <w:adjustRightInd w:val="0"/>
        <w:snapToGrid w:val="0"/>
        <w:spacing w:beforeLines="0" w:afterLines="0" w:line="0" w:lineRule="atLeast"/>
        <w:ind w:firstLine="636" w:firstLineChars="200"/>
        <w:textAlignment w:val="auto"/>
        <w:rPr>
          <w:rFonts w:hint="eastAsia" w:ascii="仿宋_GB2312" w:eastAsia="仿宋_GB2312" w:cs="Times New Roman"/>
          <w:color w:val="auto"/>
          <w:kern w:val="2"/>
          <w:sz w:val="32"/>
          <w:szCs w:val="32"/>
          <w:highlight w:val="none"/>
          <w:lang w:val="en-US" w:eastAsia="zh-CN"/>
        </w:rPr>
      </w:pPr>
      <w:r>
        <w:rPr>
          <w:rFonts w:hint="eastAsia" w:ascii="黑体" w:hAnsi="黑体" w:eastAsia="黑体" w:cs="黑体"/>
          <w:b w:val="0"/>
          <w:bCs/>
          <w:color w:val="auto"/>
          <w:kern w:val="0"/>
          <w:sz w:val="32"/>
          <w:szCs w:val="32"/>
          <w:highlight w:val="none"/>
          <w:lang w:val="en-US" w:eastAsia="zh-CN"/>
        </w:rPr>
        <w:t>第三十条</w:t>
      </w:r>
      <w:r>
        <w:rPr>
          <w:rFonts w:hint="eastAsia" w:ascii="仿宋_GB2312" w:eastAsia="仿宋_GB2312" w:cs="Times New Roman"/>
          <w:color w:val="auto"/>
          <w:kern w:val="2"/>
          <w:sz w:val="32"/>
          <w:szCs w:val="32"/>
          <w:highlight w:val="none"/>
          <w:lang w:val="en-US" w:eastAsia="zh-CN"/>
        </w:rPr>
        <w:t xml:space="preserve">  本办法由三明市财政局负责解释。各县（市、区）财政部门可参照本办法，结合本地区、本部门实际情况，制定具体实施办法。</w:t>
      </w:r>
    </w:p>
    <w:p>
      <w:pPr>
        <w:keepNext w:val="0"/>
        <w:keepLines w:val="0"/>
        <w:pageBreakBefore w:val="0"/>
        <w:widowControl/>
        <w:shd w:val="clear" w:color="auto" w:fill="auto"/>
        <w:kinsoku/>
        <w:wordWrap/>
        <w:overflowPunct/>
        <w:topLinePunct w:val="0"/>
        <w:autoSpaceDE/>
        <w:autoSpaceDN/>
        <w:bidi w:val="0"/>
        <w:adjustRightInd w:val="0"/>
        <w:snapToGrid w:val="0"/>
        <w:spacing w:beforeLines="0" w:afterLines="0" w:line="0" w:lineRule="atLeast"/>
        <w:ind w:firstLine="636" w:firstLineChars="200"/>
        <w:textAlignment w:val="auto"/>
        <w:rPr>
          <w:rFonts w:hint="eastAsia" w:ascii="仿宋_GB2312" w:eastAsia="仿宋_GB2312" w:cs="Times New Roman"/>
          <w:color w:val="auto"/>
          <w:kern w:val="2"/>
          <w:sz w:val="32"/>
          <w:szCs w:val="32"/>
          <w:highlight w:val="none"/>
          <w:lang w:val="en-US" w:eastAsia="zh-CN"/>
        </w:rPr>
      </w:pPr>
      <w:r>
        <w:rPr>
          <w:rFonts w:hint="eastAsia" w:ascii="黑体" w:hAnsi="黑体" w:eastAsia="黑体" w:cs="黑体"/>
          <w:b w:val="0"/>
          <w:bCs/>
          <w:color w:val="auto"/>
          <w:kern w:val="0"/>
          <w:sz w:val="32"/>
          <w:szCs w:val="32"/>
          <w:highlight w:val="none"/>
          <w:lang w:val="en-US" w:eastAsia="zh-CN"/>
        </w:rPr>
        <w:t>第三十一条</w:t>
      </w:r>
      <w:r>
        <w:rPr>
          <w:rFonts w:hint="eastAsia" w:ascii="仿宋_GB2312" w:eastAsia="仿宋_GB2312" w:cs="Times New Roman"/>
          <w:color w:val="auto"/>
          <w:kern w:val="2"/>
          <w:sz w:val="32"/>
          <w:szCs w:val="32"/>
          <w:highlight w:val="none"/>
          <w:lang w:val="en-US" w:eastAsia="zh-CN"/>
        </w:rPr>
        <w:t xml:space="preserve">  本办法自2022年  月  日起施行。原《三明市市级财政性资金投资项目对外委托评审管理暂行办法（修订后）》（明财办〔2019〕13号）同时废止，原有关规定与本办法不一致的，按本办法执行。本办法施行前已签订《对外委托评审合同》的，按已签订的合同执行。</w:t>
      </w:r>
    </w:p>
    <w:p>
      <w:pPr>
        <w:keepNext w:val="0"/>
        <w:keepLines w:val="0"/>
        <w:pageBreakBefore w:val="0"/>
        <w:widowControl/>
        <w:shd w:val="clear" w:color="auto" w:fill="auto"/>
        <w:kinsoku/>
        <w:wordWrap/>
        <w:overflowPunct/>
        <w:topLinePunct w:val="0"/>
        <w:autoSpaceDE/>
        <w:autoSpaceDN/>
        <w:bidi w:val="0"/>
        <w:adjustRightInd w:val="0"/>
        <w:snapToGrid w:val="0"/>
        <w:spacing w:beforeLines="0" w:afterLines="0" w:line="0" w:lineRule="atLeast"/>
        <w:ind w:firstLine="636" w:firstLineChars="200"/>
        <w:textAlignment w:val="auto"/>
        <w:rPr>
          <w:rFonts w:hint="eastAsia" w:ascii="仿宋_GB2312" w:eastAsia="仿宋_GB2312" w:cs="Times New Roman"/>
          <w:color w:val="auto"/>
          <w:kern w:val="2"/>
          <w:sz w:val="32"/>
          <w:szCs w:val="32"/>
          <w:highlight w:val="none"/>
          <w:lang w:val="en-US" w:eastAsia="zh-CN"/>
        </w:rPr>
      </w:pPr>
    </w:p>
    <w:p>
      <w:pPr>
        <w:keepNext w:val="0"/>
        <w:keepLines w:val="0"/>
        <w:pageBreakBefore w:val="0"/>
        <w:kinsoku/>
        <w:wordWrap/>
        <w:overflowPunct/>
        <w:topLinePunct w:val="0"/>
        <w:autoSpaceDE/>
        <w:autoSpaceDN/>
        <w:bidi w:val="0"/>
        <w:spacing w:line="0" w:lineRule="atLeast"/>
        <w:ind w:right="640"/>
        <w:jc w:val="center"/>
        <w:textAlignment w:val="auto"/>
        <w:rPr>
          <w:rFonts w:ascii="仿宋_GB2312" w:hAnsi="仿宋" w:eastAsia="仿宋_GB2312"/>
          <w:color w:val="auto"/>
          <w:szCs w:val="32"/>
        </w:rPr>
      </w:pPr>
    </w:p>
    <w:p>
      <w:pPr>
        <w:keepNext w:val="0"/>
        <w:keepLines w:val="0"/>
        <w:pageBreakBefore w:val="0"/>
        <w:widowControl/>
        <w:shd w:val="clear" w:color="auto" w:fill="auto"/>
        <w:kinsoku/>
        <w:wordWrap/>
        <w:overflowPunct/>
        <w:topLinePunct w:val="0"/>
        <w:autoSpaceDE/>
        <w:autoSpaceDN/>
        <w:bidi w:val="0"/>
        <w:adjustRightInd w:val="0"/>
        <w:snapToGrid w:val="0"/>
        <w:spacing w:beforeLines="0" w:afterLines="0" w:line="0" w:lineRule="atLeast"/>
        <w:ind w:firstLine="636" w:firstLineChars="200"/>
        <w:textAlignment w:val="auto"/>
        <w:rPr>
          <w:rFonts w:hint="eastAsia" w:ascii="仿宋_GB2312" w:eastAsia="仿宋_GB2312" w:cs="Times New Roman"/>
          <w:b w:val="0"/>
          <w:color w:val="auto"/>
          <w:kern w:val="2"/>
          <w:sz w:val="32"/>
          <w:szCs w:val="32"/>
          <w:highlight w:val="none"/>
        </w:rPr>
      </w:pPr>
    </w:p>
    <w:p>
      <w:pPr>
        <w:keepNext w:val="0"/>
        <w:keepLines w:val="0"/>
        <w:pageBreakBefore w:val="0"/>
        <w:kinsoku/>
        <w:wordWrap/>
        <w:overflowPunct/>
        <w:topLinePunct w:val="0"/>
        <w:autoSpaceDE/>
        <w:autoSpaceDN/>
        <w:bidi w:val="0"/>
        <w:adjustRightInd w:val="0"/>
        <w:snapToGrid w:val="0"/>
        <w:spacing w:beforeLines="0" w:afterLines="0" w:line="0" w:lineRule="atLeast"/>
        <w:ind w:firstLine="636" w:firstLineChars="200"/>
        <w:textAlignment w:val="auto"/>
        <w:rPr>
          <w:rFonts w:hint="eastAsia" w:ascii="仿宋" w:hAnsi="仿宋" w:eastAsia="仿宋" w:cs="仿宋"/>
          <w:color w:val="auto"/>
          <w:kern w:val="0"/>
          <w:sz w:val="32"/>
          <w:szCs w:val="32"/>
          <w:highlight w:val="none"/>
          <w:lang w:eastAsia="zh-CN"/>
        </w:rPr>
      </w:pPr>
      <w:r>
        <w:rPr>
          <w:rFonts w:hint="eastAsia" w:eastAsia="仿宋_GB2312" w:cs="宋体"/>
          <w:color w:val="auto"/>
          <w:kern w:val="0"/>
          <w:sz w:val="32"/>
          <w:szCs w:val="32"/>
          <w:highlight w:val="none"/>
        </w:rPr>
        <w:t>附件：</w:t>
      </w:r>
      <w:r>
        <w:rPr>
          <w:rFonts w:hint="eastAsia" w:ascii="仿宋" w:hAnsi="仿宋" w:eastAsia="仿宋" w:cs="仿宋"/>
          <w:color w:val="auto"/>
          <w:kern w:val="0"/>
          <w:sz w:val="32"/>
          <w:szCs w:val="32"/>
          <w:highlight w:val="none"/>
        </w:rPr>
        <w:t>1．</w:t>
      </w:r>
      <w:r>
        <w:rPr>
          <w:rFonts w:hint="eastAsia" w:ascii="仿宋" w:hAnsi="仿宋" w:eastAsia="仿宋" w:cs="仿宋"/>
          <w:color w:val="auto"/>
          <w:kern w:val="0"/>
          <w:sz w:val="32"/>
          <w:szCs w:val="32"/>
          <w:highlight w:val="none"/>
          <w:lang w:eastAsia="zh-CN"/>
        </w:rPr>
        <w:t>委托评审合同</w:t>
      </w:r>
    </w:p>
    <w:p>
      <w:pPr>
        <w:keepNext w:val="0"/>
        <w:keepLines w:val="0"/>
        <w:pageBreakBefore w:val="0"/>
        <w:widowControl/>
        <w:numPr>
          <w:ilvl w:val="0"/>
          <w:numId w:val="3"/>
        </w:numPr>
        <w:shd w:val="clear" w:color="auto" w:fill="auto"/>
        <w:kinsoku/>
        <w:wordWrap/>
        <w:overflowPunct/>
        <w:topLinePunct w:val="0"/>
        <w:autoSpaceDE/>
        <w:autoSpaceDN/>
        <w:bidi w:val="0"/>
        <w:adjustRightInd w:val="0"/>
        <w:snapToGrid w:val="0"/>
        <w:spacing w:beforeLines="0" w:afterLines="0" w:line="0" w:lineRule="atLeast"/>
        <w:ind w:firstLine="1590" w:firstLineChars="500"/>
        <w:textAlignment w:val="auto"/>
        <w:rPr>
          <w:rFonts w:hint="eastAsia" w:ascii="仿宋_GB2312" w:eastAsia="仿宋_GB2312" w:cs="Times New Roman"/>
          <w:color w:val="auto"/>
          <w:kern w:val="2"/>
          <w:sz w:val="32"/>
          <w:szCs w:val="32"/>
          <w:highlight w:val="none"/>
          <w:lang w:val="en-US" w:eastAsia="zh-CN"/>
        </w:rPr>
      </w:pPr>
      <w:r>
        <w:rPr>
          <w:rFonts w:hint="eastAsia" w:ascii="仿宋_GB2312" w:eastAsia="仿宋_GB2312" w:cs="Times New Roman"/>
          <w:color w:val="auto"/>
          <w:kern w:val="2"/>
          <w:sz w:val="32"/>
          <w:szCs w:val="32"/>
          <w:highlight w:val="none"/>
          <w:lang w:val="en-US" w:eastAsia="zh-CN"/>
        </w:rPr>
        <w:t>委托评审付费标准表</w:t>
      </w:r>
    </w:p>
    <w:p>
      <w:pPr>
        <w:keepNext w:val="0"/>
        <w:keepLines w:val="0"/>
        <w:pageBreakBefore w:val="0"/>
        <w:widowControl/>
        <w:numPr>
          <w:ilvl w:val="0"/>
          <w:numId w:val="3"/>
        </w:numPr>
        <w:shd w:val="clear" w:color="auto" w:fill="auto"/>
        <w:kinsoku/>
        <w:wordWrap/>
        <w:overflowPunct/>
        <w:topLinePunct w:val="0"/>
        <w:autoSpaceDE/>
        <w:autoSpaceDN/>
        <w:bidi w:val="0"/>
        <w:adjustRightInd w:val="0"/>
        <w:snapToGrid w:val="0"/>
        <w:spacing w:beforeLines="0" w:afterLines="0" w:line="0" w:lineRule="atLeast"/>
        <w:ind w:left="2078" w:leftChars="764" w:hanging="489" w:hangingChars="154"/>
        <w:textAlignment w:val="auto"/>
        <w:rPr>
          <w:rFonts w:hint="eastAsia" w:ascii="仿宋_GB2312" w:eastAsia="仿宋_GB2312" w:cs="Times New Roman"/>
          <w:color w:val="auto"/>
          <w:kern w:val="2"/>
          <w:sz w:val="32"/>
          <w:szCs w:val="32"/>
          <w:highlight w:val="none"/>
          <w:lang w:val="en-US" w:eastAsia="zh-CN"/>
        </w:rPr>
      </w:pPr>
      <w:r>
        <w:rPr>
          <w:rFonts w:hint="eastAsia" w:ascii="仿宋_GB2312" w:eastAsia="仿宋_GB2312" w:cs="Times New Roman"/>
          <w:color w:val="auto"/>
          <w:kern w:val="2"/>
          <w:sz w:val="32"/>
          <w:szCs w:val="32"/>
          <w:highlight w:val="none"/>
          <w:lang w:val="en-US" w:eastAsia="zh-CN"/>
        </w:rPr>
        <w:t>单项业务考核评分表（含工程造价咨询和财务专业评审考核评分表、中介机构项目评审服务情况表）</w:t>
      </w:r>
    </w:p>
    <w:p>
      <w:pPr>
        <w:keepNext w:val="0"/>
        <w:keepLines w:val="0"/>
        <w:pageBreakBefore w:val="0"/>
        <w:widowControl/>
        <w:numPr>
          <w:ilvl w:val="0"/>
          <w:numId w:val="3"/>
        </w:numPr>
        <w:shd w:val="clear" w:color="auto" w:fill="auto"/>
        <w:kinsoku/>
        <w:wordWrap/>
        <w:overflowPunct/>
        <w:topLinePunct w:val="0"/>
        <w:autoSpaceDE/>
        <w:autoSpaceDN/>
        <w:bidi w:val="0"/>
        <w:adjustRightInd w:val="0"/>
        <w:snapToGrid w:val="0"/>
        <w:spacing w:beforeLines="0" w:afterLines="0" w:line="0" w:lineRule="atLeast"/>
        <w:ind w:firstLine="1590" w:firstLineChars="500"/>
        <w:textAlignment w:val="auto"/>
        <w:rPr>
          <w:rFonts w:hint="eastAsia" w:ascii="仿宋_GB2312" w:eastAsia="仿宋_GB2312" w:cs="Times New Roman"/>
          <w:color w:val="auto"/>
          <w:kern w:val="2"/>
          <w:sz w:val="32"/>
          <w:szCs w:val="32"/>
          <w:highlight w:val="none"/>
          <w:lang w:val="en-US" w:eastAsia="zh-CN"/>
        </w:rPr>
      </w:pPr>
      <w:r>
        <w:rPr>
          <w:rFonts w:hint="eastAsia" w:ascii="仿宋_GB2312" w:eastAsia="仿宋_GB2312" w:cs="Times New Roman"/>
          <w:color w:val="auto"/>
          <w:kern w:val="2"/>
          <w:sz w:val="32"/>
          <w:szCs w:val="32"/>
          <w:highlight w:val="none"/>
          <w:lang w:val="en-US" w:eastAsia="zh-CN"/>
        </w:rPr>
        <w:t>综合服务考核评分表</w:t>
      </w:r>
    </w:p>
    <w:p>
      <w:pPr>
        <w:keepNext w:val="0"/>
        <w:keepLines w:val="0"/>
        <w:pageBreakBefore w:val="0"/>
        <w:widowControl/>
        <w:numPr>
          <w:ilvl w:val="0"/>
          <w:numId w:val="3"/>
        </w:numPr>
        <w:shd w:val="clear" w:color="auto" w:fill="auto"/>
        <w:kinsoku/>
        <w:wordWrap/>
        <w:overflowPunct/>
        <w:topLinePunct w:val="0"/>
        <w:autoSpaceDE/>
        <w:autoSpaceDN/>
        <w:bidi w:val="0"/>
        <w:adjustRightInd w:val="0"/>
        <w:snapToGrid w:val="0"/>
        <w:spacing w:beforeLines="0" w:afterLines="0" w:line="0" w:lineRule="atLeast"/>
        <w:ind w:firstLine="1590" w:firstLineChars="500"/>
        <w:textAlignment w:val="auto"/>
        <w:rPr>
          <w:rFonts w:hint="eastAsia" w:ascii="仿宋_GB2312" w:eastAsia="仿宋_GB2312" w:cs="Times New Roman"/>
          <w:color w:val="auto"/>
          <w:kern w:val="2"/>
          <w:sz w:val="32"/>
          <w:szCs w:val="32"/>
          <w:highlight w:val="none"/>
          <w:lang w:val="en-US" w:eastAsia="zh-CN"/>
        </w:rPr>
      </w:pPr>
      <w:r>
        <w:rPr>
          <w:rFonts w:hint="eastAsia" w:ascii="仿宋_GB2312" w:eastAsia="仿宋_GB2312" w:cs="Times New Roman"/>
          <w:color w:val="auto"/>
          <w:kern w:val="2"/>
          <w:sz w:val="32"/>
          <w:szCs w:val="32"/>
          <w:highlight w:val="none"/>
          <w:lang w:val="en-US" w:eastAsia="zh-CN"/>
        </w:rPr>
        <w:t>项目评审延期申请审批表</w:t>
      </w:r>
    </w:p>
    <w:p>
      <w:pPr>
        <w:keepNext w:val="0"/>
        <w:keepLines w:val="0"/>
        <w:pageBreakBefore w:val="0"/>
        <w:widowControl/>
        <w:numPr>
          <w:ilvl w:val="0"/>
          <w:numId w:val="0"/>
        </w:numPr>
        <w:shd w:val="clear" w:color="auto" w:fill="auto"/>
        <w:kinsoku/>
        <w:wordWrap/>
        <w:overflowPunct/>
        <w:topLinePunct w:val="0"/>
        <w:autoSpaceDE/>
        <w:autoSpaceDN/>
        <w:bidi w:val="0"/>
        <w:adjustRightInd w:val="0"/>
        <w:snapToGrid w:val="0"/>
        <w:spacing w:beforeLines="0" w:afterLines="0" w:line="0" w:lineRule="atLeast"/>
        <w:textAlignment w:val="auto"/>
        <w:rPr>
          <w:rFonts w:hint="eastAsia" w:ascii="仿宋_GB2312" w:eastAsia="仿宋_GB2312" w:cs="Times New Roman"/>
          <w:color w:val="auto"/>
          <w:kern w:val="2"/>
          <w:sz w:val="32"/>
          <w:szCs w:val="32"/>
          <w:highlight w:val="none"/>
          <w:lang w:val="en-US" w:eastAsia="zh-CN"/>
        </w:rPr>
      </w:pPr>
    </w:p>
    <w:p>
      <w:pPr>
        <w:keepNext w:val="0"/>
        <w:keepLines w:val="0"/>
        <w:pageBreakBefore w:val="0"/>
        <w:widowControl/>
        <w:numPr>
          <w:ilvl w:val="0"/>
          <w:numId w:val="0"/>
        </w:numPr>
        <w:shd w:val="clear" w:color="auto" w:fill="auto"/>
        <w:kinsoku/>
        <w:wordWrap/>
        <w:overflowPunct/>
        <w:topLinePunct w:val="0"/>
        <w:autoSpaceDE/>
        <w:autoSpaceDN/>
        <w:bidi w:val="0"/>
        <w:adjustRightInd w:val="0"/>
        <w:snapToGrid w:val="0"/>
        <w:spacing w:beforeLines="0" w:afterLines="0" w:line="0" w:lineRule="atLeast"/>
        <w:textAlignment w:val="auto"/>
        <w:rPr>
          <w:rFonts w:hint="eastAsia" w:ascii="仿宋_GB2312" w:eastAsia="仿宋_GB2312" w:cs="Times New Roman"/>
          <w:color w:val="auto"/>
          <w:kern w:val="2"/>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beforeLines="0" w:afterLines="0" w:line="0" w:lineRule="atLeast"/>
        <w:ind w:firstLine="0" w:firstLineChars="0"/>
        <w:textAlignment w:val="auto"/>
        <w:rPr>
          <w:rFonts w:hint="eastAsia" w:ascii="仿宋" w:hAnsi="仿宋" w:cs="仿宋"/>
          <w:color w:val="auto"/>
          <w:kern w:val="0"/>
          <w:highlight w:val="none"/>
        </w:rPr>
      </w:pPr>
    </w:p>
    <w:p>
      <w:pPr>
        <w:keepNext w:val="0"/>
        <w:keepLines w:val="0"/>
        <w:pageBreakBefore w:val="0"/>
        <w:kinsoku/>
        <w:wordWrap/>
        <w:overflowPunct/>
        <w:topLinePunct w:val="0"/>
        <w:autoSpaceDE/>
        <w:autoSpaceDN/>
        <w:bidi w:val="0"/>
        <w:adjustRightInd/>
        <w:snapToGrid/>
        <w:spacing w:beforeLines="0" w:afterLines="0" w:line="0" w:lineRule="atLeast"/>
        <w:ind w:firstLine="0" w:firstLineChars="0"/>
        <w:textAlignment w:val="auto"/>
        <w:rPr>
          <w:rFonts w:hint="eastAsia" w:ascii="仿宋" w:hAnsi="仿宋" w:cs="仿宋"/>
          <w:color w:val="auto"/>
          <w:kern w:val="0"/>
          <w:highlight w:val="none"/>
        </w:rPr>
      </w:pPr>
    </w:p>
    <w:p>
      <w:pPr>
        <w:keepNext w:val="0"/>
        <w:keepLines w:val="0"/>
        <w:pageBreakBefore w:val="0"/>
        <w:kinsoku/>
        <w:wordWrap/>
        <w:overflowPunct/>
        <w:topLinePunct w:val="0"/>
        <w:autoSpaceDE/>
        <w:autoSpaceDN/>
        <w:bidi w:val="0"/>
        <w:adjustRightInd/>
        <w:snapToGrid w:val="0"/>
        <w:spacing w:beforeLines="0" w:afterLines="0" w:line="0" w:lineRule="atLeast"/>
        <w:ind w:firstLine="0" w:firstLineChars="0"/>
        <w:textAlignment w:val="auto"/>
        <w:rPr>
          <w:rFonts w:hint="eastAsia" w:ascii="黑体" w:hAnsi="黑体" w:eastAsia="黑体" w:cs="黑体"/>
          <w:color w:val="auto"/>
          <w:highlight w:val="none"/>
        </w:rPr>
      </w:pPr>
    </w:p>
    <w:sectPr>
      <w:footerReference r:id="rId3" w:type="default"/>
      <w:pgSz w:w="11906" w:h="16838"/>
      <w:pgMar w:top="1417" w:right="1417" w:bottom="1417" w:left="1417" w:header="851" w:footer="709" w:gutter="0"/>
      <w:pgNumType w:fmt="numberInDash"/>
      <w:cols w:space="720" w:num="1"/>
      <w:rtlGutter w:val="0"/>
      <w:docGrid w:type="linesAndChars" w:linePitch="589" w:charSpace="-4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Liberation Sans">
    <w:altName w:val="汉仪新人文宋简"/>
    <w:panose1 w:val="00000000000000000000"/>
    <w:charset w:val="00"/>
    <w:family w:val="swiss"/>
    <w:pitch w:val="default"/>
    <w:sig w:usb0="00000000" w:usb1="00000000" w:usb2="00000000" w:usb3="00000000" w:csb0="00040001" w:csb1="00000000"/>
  </w:font>
  <w:font w:name="Noto Sans CJK SC Regular">
    <w:panose1 w:val="020B0500000000000000"/>
    <w:charset w:val="86"/>
    <w:family w:val="auto"/>
    <w:pitch w:val="default"/>
    <w:sig w:usb0="30000003" w:usb1="2BDF3C10" w:usb2="00000016" w:usb3="00000000" w:csb0="602E0107"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00"/>
    <w:family w:val="modern"/>
    <w:pitch w:val="default"/>
    <w:sig w:usb0="00000000" w:usb1="0000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
                            <w:ind w:right="210" w:rightChars="10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4"/>
                      <w:ind w:right="210" w:rightChars="10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FDDCDF"/>
    <w:multiLevelType w:val="singleLevel"/>
    <w:tmpl w:val="94FDDCDF"/>
    <w:lvl w:ilvl="0" w:tentative="0">
      <w:start w:val="1"/>
      <w:numFmt w:val="chineseCounting"/>
      <w:suff w:val="nothing"/>
      <w:lvlText w:val="（%1）"/>
      <w:lvlJc w:val="left"/>
      <w:rPr>
        <w:rFonts w:hint="eastAsia"/>
      </w:rPr>
    </w:lvl>
  </w:abstractNum>
  <w:abstractNum w:abstractNumId="1">
    <w:nsid w:val="BC9ED894"/>
    <w:multiLevelType w:val="singleLevel"/>
    <w:tmpl w:val="BC9ED894"/>
    <w:lvl w:ilvl="0" w:tentative="0">
      <w:start w:val="2"/>
      <w:numFmt w:val="decimal"/>
      <w:lvlText w:val="%1."/>
      <w:lvlJc w:val="left"/>
      <w:pPr>
        <w:tabs>
          <w:tab w:val="left" w:pos="312"/>
        </w:tabs>
      </w:pPr>
    </w:lvl>
  </w:abstractNum>
  <w:abstractNum w:abstractNumId="2">
    <w:nsid w:val="D57F37B7"/>
    <w:multiLevelType w:val="singleLevel"/>
    <w:tmpl w:val="D57F37B7"/>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displayBackgroundShape w:val="true"/>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true"/>
  <w:documentProtection w:enforcement="0"/>
  <w:defaultTabStop w:val="420"/>
  <w:hyphenationZone w:val="360"/>
  <w:drawingGridHorizontalSpacing w:val="104"/>
  <w:drawingGridVerticalSpacing w:val="1"/>
  <w:displayHorizontalDrawingGridEvery w:val="1"/>
  <w:displayVerticalDrawingGridEvery w:val="1"/>
  <w:doNotUseMarginsForDrawingGridOrigin w:val="true"/>
  <w:drawingGridHorizontalOrigin w:val="0"/>
  <w:drawingGridVerticalOrigin w:val="0"/>
  <w:noPunctuationKerning w:val="true"/>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EF8AD"/>
    <w:rsid w:val="13DFDFC7"/>
    <w:rsid w:val="1ECE6251"/>
    <w:rsid w:val="1FD7007E"/>
    <w:rsid w:val="21FEEB49"/>
    <w:rsid w:val="35DA268A"/>
    <w:rsid w:val="3EEB404E"/>
    <w:rsid w:val="3FB5C2B2"/>
    <w:rsid w:val="475CCBC0"/>
    <w:rsid w:val="479FEB9B"/>
    <w:rsid w:val="487D351A"/>
    <w:rsid w:val="4F9AF030"/>
    <w:rsid w:val="54EC247F"/>
    <w:rsid w:val="55DF5D82"/>
    <w:rsid w:val="5B7F2865"/>
    <w:rsid w:val="5B9DE4A6"/>
    <w:rsid w:val="5BEABF89"/>
    <w:rsid w:val="5E7B84CE"/>
    <w:rsid w:val="5F75A32E"/>
    <w:rsid w:val="6764AFC7"/>
    <w:rsid w:val="6ACF0D72"/>
    <w:rsid w:val="6BAEBCFE"/>
    <w:rsid w:val="6BFB929A"/>
    <w:rsid w:val="6DFFDA84"/>
    <w:rsid w:val="6F3E630A"/>
    <w:rsid w:val="6FEFC045"/>
    <w:rsid w:val="7267DB28"/>
    <w:rsid w:val="7377E134"/>
    <w:rsid w:val="7386B4C9"/>
    <w:rsid w:val="757F7481"/>
    <w:rsid w:val="75CDB37C"/>
    <w:rsid w:val="76DE0F5A"/>
    <w:rsid w:val="775B6AAE"/>
    <w:rsid w:val="77A6A429"/>
    <w:rsid w:val="79DD6CC5"/>
    <w:rsid w:val="7B7F9FA0"/>
    <w:rsid w:val="7C1FD4E3"/>
    <w:rsid w:val="7C3321D8"/>
    <w:rsid w:val="7CFF835F"/>
    <w:rsid w:val="7D7FD200"/>
    <w:rsid w:val="7E3F6FBE"/>
    <w:rsid w:val="7E3FA025"/>
    <w:rsid w:val="7E5F1AFC"/>
    <w:rsid w:val="7EB5488B"/>
    <w:rsid w:val="7EDCFB47"/>
    <w:rsid w:val="7F5EFB43"/>
    <w:rsid w:val="7F76A665"/>
    <w:rsid w:val="7FBA9FA6"/>
    <w:rsid w:val="7FE91F80"/>
    <w:rsid w:val="7FF73310"/>
    <w:rsid w:val="7FFDDD0D"/>
    <w:rsid w:val="7FFF3F7F"/>
    <w:rsid w:val="8FDF821A"/>
    <w:rsid w:val="9DDD34C4"/>
    <w:rsid w:val="9F77D9E6"/>
    <w:rsid w:val="AAFE8201"/>
    <w:rsid w:val="AD8BC843"/>
    <w:rsid w:val="ADC6C3AE"/>
    <w:rsid w:val="AFFE68C9"/>
    <w:rsid w:val="BAFF8CB5"/>
    <w:rsid w:val="BCEBE540"/>
    <w:rsid w:val="BF53F424"/>
    <w:rsid w:val="BFFC6373"/>
    <w:rsid w:val="C3B506E2"/>
    <w:rsid w:val="C3F7F85B"/>
    <w:rsid w:val="C8E09A12"/>
    <w:rsid w:val="D5EFC87B"/>
    <w:rsid w:val="D7DFE7CE"/>
    <w:rsid w:val="D7F29182"/>
    <w:rsid w:val="D7FD0B8B"/>
    <w:rsid w:val="D9EC0B4D"/>
    <w:rsid w:val="DDDE42AD"/>
    <w:rsid w:val="DDFDA40D"/>
    <w:rsid w:val="DE1FCE3D"/>
    <w:rsid w:val="DF7FE8C3"/>
    <w:rsid w:val="DF9F9449"/>
    <w:rsid w:val="E9FD2512"/>
    <w:rsid w:val="EAF961F9"/>
    <w:rsid w:val="ED5F67CB"/>
    <w:rsid w:val="EE7BBDA7"/>
    <w:rsid w:val="F1FA6D35"/>
    <w:rsid w:val="F23DE232"/>
    <w:rsid w:val="F5B5735B"/>
    <w:rsid w:val="F5FDC415"/>
    <w:rsid w:val="F6CD32E4"/>
    <w:rsid w:val="F779813F"/>
    <w:rsid w:val="F7B81E96"/>
    <w:rsid w:val="F8A72919"/>
    <w:rsid w:val="F8DC2E9E"/>
    <w:rsid w:val="FB2F3853"/>
    <w:rsid w:val="FBE7AA2A"/>
    <w:rsid w:val="FCBF420B"/>
    <w:rsid w:val="FD2E9147"/>
    <w:rsid w:val="FDA5E7DC"/>
    <w:rsid w:val="FDBD3ECF"/>
    <w:rsid w:val="FDEF617B"/>
    <w:rsid w:val="FE3D7F64"/>
    <w:rsid w:val="FE7B6000"/>
    <w:rsid w:val="FEDBB6D6"/>
    <w:rsid w:val="FF361F55"/>
    <w:rsid w:val="FF5D96E8"/>
    <w:rsid w:val="FF778FC9"/>
    <w:rsid w:val="FF9D6F79"/>
    <w:rsid w:val="FF9FEBD4"/>
    <w:rsid w:val="FFBD3BBB"/>
    <w:rsid w:val="FFFBB9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8">
    <w:name w:val="Default Paragraph Font"/>
    <w:qFormat/>
    <w:uiPriority w:val="0"/>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caption"/>
    <w:basedOn w:val="1"/>
    <w:next w:val="1"/>
    <w:qFormat/>
    <w:uiPriority w:val="0"/>
    <w:pPr>
      <w:widowControl w:val="0"/>
      <w:suppressLineNumbers/>
      <w:suppressAutoHyphens/>
      <w:spacing w:before="120" w:after="120"/>
    </w:pPr>
    <w:rPr>
      <w:i/>
      <w:iCs/>
      <w:sz w:val="24"/>
      <w:szCs w:val="24"/>
    </w:rPr>
  </w:style>
  <w:style w:type="paragraph" w:styleId="3">
    <w:name w:val="Body Text"/>
    <w:basedOn w:val="1"/>
    <w:qFormat/>
    <w:uiPriority w:val="0"/>
    <w:pPr>
      <w:spacing w:before="0" w:after="140" w:line="276" w:lineRule="auto"/>
    </w:p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List"/>
    <w:basedOn w:val="3"/>
    <w:qFormat/>
    <w:uiPriority w:val="0"/>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rPr>
  </w:style>
  <w:style w:type="character" w:customStyle="1" w:styleId="10">
    <w:name w:val="默认段落字体1"/>
    <w:qFormat/>
    <w:uiPriority w:val="0"/>
  </w:style>
  <w:style w:type="paragraph" w:customStyle="1" w:styleId="11">
    <w:name w:val="Heading"/>
    <w:basedOn w:val="1"/>
    <w:next w:val="3"/>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2">
    <w:name w:val="Index"/>
    <w:basedOn w:val="1"/>
    <w:qFormat/>
    <w:uiPriority w:val="0"/>
    <w:pPr>
      <w:widowControl w:val="0"/>
      <w:suppressLineNumbers/>
      <w:suppressAutoHyphens/>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169</TotalTime>
  <ScaleCrop>false</ScaleCrop>
  <LinksUpToDate>false</LinksUpToDate>
  <Application>WPS Office_11.8.2.10251_F1E327BC-269C-435d-A152-05C5408002CA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2018-12-05T01:47:00Z</dcterms:created>
  <dc:creator>smczj</dc:creator>
  <cp:lastModifiedBy>郑洪荣</cp:lastModifiedBy>
  <cp:lastPrinted>2022-05-01T19:01:00Z</cp:lastPrinted>
  <dcterms:modified xsi:type="dcterms:W3CDTF">2022-08-12T12:17:34Z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